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A458">
      <w:pPr>
        <w:spacing w:before="156" w:beforeLines="50" w:after="156" w:afterLines="50" w:line="480" w:lineRule="exact"/>
        <w:ind w:left="558" w:hanging="558" w:hangingChars="155"/>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外国语学院英语人文素养微专业人才培养方案</w:t>
      </w:r>
    </w:p>
    <w:p w14:paraId="76D41B57">
      <w:pPr>
        <w:widowControl/>
        <w:spacing w:after="156" w:line="0" w:lineRule="atLeast"/>
        <w:ind w:firstLine="560" w:firstLineChars="200"/>
        <w:jc w:val="left"/>
        <w:rPr>
          <w:rFonts w:ascii="黑体" w:hAnsi="黑体" w:eastAsia="黑体" w:cs="黑体"/>
          <w:bCs/>
          <w:sz w:val="28"/>
          <w:szCs w:val="28"/>
        </w:rPr>
      </w:pPr>
    </w:p>
    <w:p w14:paraId="0F0F5949">
      <w:pPr>
        <w:widowControl/>
        <w:spacing w:after="156" w:line="0" w:lineRule="atLeast"/>
        <w:ind w:firstLine="560" w:firstLineChars="200"/>
        <w:jc w:val="left"/>
        <w:rPr>
          <w:rFonts w:ascii="黑体" w:hAnsi="黑体" w:eastAsia="黑体" w:cs="黑体"/>
          <w:bCs/>
          <w:sz w:val="28"/>
          <w:szCs w:val="28"/>
        </w:rPr>
      </w:pPr>
      <w:r>
        <w:rPr>
          <w:rFonts w:hint="eastAsia" w:ascii="黑体" w:hAnsi="黑体" w:eastAsia="黑体" w:cs="黑体"/>
          <w:bCs/>
          <w:sz w:val="28"/>
          <w:szCs w:val="28"/>
        </w:rPr>
        <w:t>一、培养目标</w:t>
      </w:r>
    </w:p>
    <w:p w14:paraId="43BFE9D3">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sz w:val="28"/>
          <w:szCs w:val="28"/>
        </w:rPr>
        <w:t>英语人文素养</w:t>
      </w:r>
      <w:r>
        <w:rPr>
          <w:rFonts w:hint="eastAsia" w:ascii="仿宋" w:hAnsi="仿宋" w:eastAsia="仿宋"/>
          <w:bCs/>
          <w:sz w:val="28"/>
          <w:szCs w:val="28"/>
        </w:rPr>
        <w:t>微专业旨在面向全校学生，构建“语言能力+人文素养+跨文化能力”三位一体的培养体系，助力学生达成以下核心目标：</w:t>
      </w:r>
    </w:p>
    <w:p w14:paraId="347A19F9">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1. 夯实英语语言应用基础，提升读、写、译综合能力，具备精准理解和表达英语人文主题内容的能力；</w:t>
      </w:r>
    </w:p>
    <w:p w14:paraId="4B432286">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2. 深化对英语国家文学、历史、哲学、艺术等核心人文领域的认知，培育批判性思维与人文审美素养，形成开阔的国际视野；</w:t>
      </w:r>
    </w:p>
    <w:p w14:paraId="699049F1">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3. 掌握跨文化交际的基本理论与实践技巧，能够在跨文化场景中高效沟通、理性包容不同文化差异；</w:t>
      </w:r>
    </w:p>
    <w:p w14:paraId="4FEC9B54">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4. 塑造兼具家国情怀与国际竞争力的价值取向，能够运用英语语言和人文知识解决实际问题，适应全球化背景下社会对复合型人才的需求，为未来升学深造、职场发展及国际交流奠定坚实基础。</w:t>
      </w:r>
    </w:p>
    <w:p w14:paraId="07C8CDDE">
      <w:pPr>
        <w:widowControl/>
        <w:spacing w:after="156" w:line="0" w:lineRule="atLeast"/>
        <w:ind w:firstLine="560" w:firstLineChars="200"/>
        <w:jc w:val="left"/>
        <w:rPr>
          <w:rFonts w:ascii="黑体" w:hAnsi="黑体" w:eastAsia="黑体" w:cs="黑体"/>
          <w:bCs/>
          <w:sz w:val="28"/>
          <w:szCs w:val="28"/>
        </w:rPr>
      </w:pPr>
      <w:r>
        <w:rPr>
          <w:rFonts w:hint="eastAsia" w:ascii="黑体" w:hAnsi="黑体" w:eastAsia="黑体" w:cs="黑体"/>
          <w:bCs/>
          <w:sz w:val="28"/>
          <w:szCs w:val="28"/>
        </w:rPr>
        <w:t>二、毕业要求</w:t>
      </w:r>
    </w:p>
    <w:p w14:paraId="23E484DE">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sz w:val="28"/>
          <w:szCs w:val="28"/>
        </w:rPr>
        <w:t>英语人文素养</w:t>
      </w:r>
      <w:r>
        <w:rPr>
          <w:rFonts w:hint="eastAsia" w:ascii="仿宋" w:hAnsi="仿宋" w:eastAsia="仿宋"/>
          <w:bCs/>
          <w:sz w:val="28"/>
          <w:szCs w:val="28"/>
        </w:rPr>
        <w:t>微专业旨在培养学生具备扎实的英语语言应用能力、深厚的西方人文底蕴、跨文化沟通与思辨能力，助力学生形成健全的人文品格与全球视野。具体毕业要求如下：</w:t>
      </w:r>
    </w:p>
    <w:p w14:paraId="10CA0A66">
      <w:pPr>
        <w:widowControl/>
        <w:spacing w:after="156" w:line="360" w:lineRule="auto"/>
        <w:ind w:firstLine="560"/>
        <w:jc w:val="left"/>
        <w:rPr>
          <w:rFonts w:ascii="仿宋" w:hAnsi="仿宋" w:eastAsia="仿宋"/>
          <w:bCs/>
          <w:sz w:val="28"/>
          <w:szCs w:val="28"/>
        </w:rPr>
      </w:pPr>
      <w:r>
        <w:rPr>
          <w:rFonts w:hint="eastAsia" w:ascii="仿宋" w:hAnsi="仿宋" w:eastAsia="仿宋"/>
          <w:bCs/>
          <w:sz w:val="28"/>
          <w:szCs w:val="28"/>
        </w:rPr>
        <w:t>1. 课程学分要求</w:t>
      </w:r>
    </w:p>
    <w:p w14:paraId="31FDA50D">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需完成英语人文素养微专业规定的全部必修课程与选修课程学习，总学分为10学分，总课时为150学时。</w:t>
      </w:r>
    </w:p>
    <w:p w14:paraId="6AB1ADD3">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(1) 必修课程需全部修读并考核合格，不得申请免修或替代；</w:t>
      </w:r>
    </w:p>
    <w:p w14:paraId="3D666A25">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(2) 所有课程考核成绩均需达到合格及以上，无课程作弊、补考不合格记录；若某门课程考核不合格，需参加补考或重修，直至成绩合格方可计入总学分。</w:t>
      </w:r>
    </w:p>
    <w:p w14:paraId="1D02D5E6">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2. 核心能力达成要求</w:t>
      </w:r>
    </w:p>
    <w:p w14:paraId="10D4A4D6">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学生需在毕业前具备以下核心能力，通过课程表现、实践考核等方式综合评定：</w:t>
      </w:r>
    </w:p>
    <w:p w14:paraId="48C455C5">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(1) 英语语言应用能力</w:t>
      </w:r>
    </w:p>
    <w:p w14:paraId="2F1B50F7">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能熟练运用英语进行听、说、读、写、译，完成研究生阶段文献资料查找与阅读，可读懂英文人文类经典著作节选，能撰写英语小论文，能清晰表达对人文议题的观点。</w:t>
      </w:r>
    </w:p>
    <w:p w14:paraId="45FDEADF">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(2) 人文知识储备能力</w:t>
      </w:r>
    </w:p>
    <w:p w14:paraId="3928505E">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系统掌握西方文学发展脉络、西方哲学核心思想、西方艺术流派特征等基础人文知识，能准确阐述西方人文领域的关键理论或重要事件。</w:t>
      </w:r>
    </w:p>
    <w:p w14:paraId="5A9FFA71">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(3) 跨文化思辨能力</w:t>
      </w:r>
    </w:p>
    <w:p w14:paraId="4657A827">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能辩证分析中西方文化差异，对不同文化现象、价值观念具备独立判断能力，可结合人文知识解读跨文化交流中的常见问题并提出合理见解。</w:t>
      </w:r>
    </w:p>
    <w:p w14:paraId="2BDAB79C">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3. 毕业成果提交要求</w:t>
      </w:r>
    </w:p>
    <w:p w14:paraId="00C2B48A">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学生需在毕业答辩前提交以下成果，经微专业教学团队审核通过：</w:t>
      </w:r>
    </w:p>
    <w:p w14:paraId="5EC44F5D">
      <w:pPr>
        <w:widowControl/>
        <w:spacing w:after="156" w:line="360" w:lineRule="auto"/>
        <w:ind w:firstLine="560" w:firstLineChars="200"/>
        <w:jc w:val="left"/>
        <w:rPr>
          <w:rFonts w:ascii="仿宋" w:hAnsi="仿宋" w:eastAsia="仿宋"/>
          <w:bCs/>
          <w:sz w:val="28"/>
          <w:szCs w:val="28"/>
        </w:rPr>
      </w:pPr>
      <w:r>
        <w:rPr>
          <w:rFonts w:hint="eastAsia" w:ascii="仿宋" w:hAnsi="仿宋" w:eastAsia="仿宋"/>
          <w:bCs/>
          <w:sz w:val="28"/>
          <w:szCs w:val="28"/>
        </w:rPr>
        <w:t>课程学习成绩单：由学校教务系统导出，加盖微专业所属院系公章，确认修读课程及学分达标。</w:t>
      </w:r>
    </w:p>
    <w:p w14:paraId="1B939917">
      <w:pPr>
        <w:spacing w:before="156" w:beforeLines="50" w:after="156" w:afterLines="50" w:line="480" w:lineRule="exact"/>
        <w:ind w:firstLine="560" w:firstLineChars="200"/>
        <w:rPr>
          <w:rFonts w:ascii="宋体" w:hAnsi="宋体"/>
          <w:b/>
          <w:sz w:val="28"/>
          <w:szCs w:val="28"/>
        </w:rPr>
      </w:pPr>
      <w:r>
        <w:rPr>
          <w:rFonts w:hint="eastAsia" w:ascii="黑体" w:hAnsi="黑体" w:eastAsia="黑体" w:cs="黑体"/>
          <w:bCs/>
          <w:sz w:val="28"/>
          <w:szCs w:val="28"/>
        </w:rPr>
        <w:t>三、招生对象与条件</w:t>
      </w:r>
    </w:p>
    <w:p w14:paraId="667F6CF5">
      <w:pPr>
        <w:widowControl/>
        <w:ind w:firstLine="560" w:firstLineChars="200"/>
        <w:rPr>
          <w:rFonts w:ascii="仿宋_GB2312" w:eastAsia="仿宋_GB2312"/>
          <w:sz w:val="28"/>
          <w:szCs w:val="28"/>
        </w:rPr>
      </w:pPr>
      <w:r>
        <w:rPr>
          <w:rFonts w:hint="eastAsia" w:ascii="仿宋" w:hAnsi="仿宋" w:eastAsia="仿宋"/>
          <w:sz w:val="28"/>
          <w:szCs w:val="28"/>
        </w:rPr>
        <w:t>英语人文素养</w:t>
      </w:r>
      <w:r>
        <w:rPr>
          <w:rFonts w:hint="eastAsia" w:ascii="仿宋_GB2312" w:eastAsia="仿宋_GB2312"/>
          <w:sz w:val="28"/>
          <w:szCs w:val="28"/>
        </w:rPr>
        <w:t>微专业主要招生对象为沈阳师范大学本科学段对数智新时代英语学科有广泛需求的各专业二、三年级学有余力的优秀本科生。本专业开设涵盖英语听说个性化打磨、英语读写高阶需求、英语跨文化素养提升、沉浸式体验中西方文化差异的精品课程。</w:t>
      </w:r>
    </w:p>
    <w:p w14:paraId="2576F3E1">
      <w:pPr>
        <w:widowControl/>
        <w:ind w:firstLine="560" w:firstLineChars="200"/>
        <w:rPr>
          <w:rFonts w:ascii="仿宋_GB2312" w:eastAsia="仿宋_GB2312"/>
          <w:sz w:val="28"/>
          <w:szCs w:val="28"/>
        </w:rPr>
      </w:pPr>
      <w:r>
        <w:rPr>
          <w:rFonts w:hint="eastAsia" w:ascii="仿宋_GB2312" w:eastAsia="仿宋_GB2312"/>
          <w:sz w:val="28"/>
          <w:szCs w:val="28"/>
        </w:rPr>
        <w:t>为全面实现新时代文化自信，增强就业核心竞争力，培养素质过硬、专业扎实的优秀本科毕业生，</w:t>
      </w:r>
      <w:r>
        <w:rPr>
          <w:rFonts w:hint="eastAsia" w:ascii="仿宋" w:hAnsi="仿宋" w:eastAsia="仿宋"/>
          <w:sz w:val="28"/>
          <w:szCs w:val="28"/>
        </w:rPr>
        <w:t>英语人文素养</w:t>
      </w:r>
      <w:r>
        <w:rPr>
          <w:rFonts w:hint="eastAsia" w:ascii="仿宋_GB2312" w:eastAsia="仿宋_GB2312"/>
          <w:sz w:val="28"/>
          <w:szCs w:val="28"/>
        </w:rPr>
        <w:t>微专业招生条件如下：</w:t>
      </w:r>
    </w:p>
    <w:p w14:paraId="5CEB4A84">
      <w:pPr>
        <w:widowControl/>
        <w:ind w:firstLine="560" w:firstLineChars="200"/>
        <w:rPr>
          <w:rFonts w:ascii="仿宋_GB2312" w:eastAsia="仿宋_GB2312"/>
          <w:sz w:val="28"/>
          <w:szCs w:val="28"/>
        </w:rPr>
      </w:pPr>
      <w:r>
        <w:rPr>
          <w:rFonts w:hint="eastAsia" w:ascii="仿宋_GB2312" w:eastAsia="仿宋_GB2312"/>
          <w:sz w:val="28"/>
          <w:szCs w:val="28"/>
        </w:rPr>
        <w:t>1. 主修专业当前已修课程成绩全部合格;</w:t>
      </w:r>
    </w:p>
    <w:p w14:paraId="499682D1">
      <w:pPr>
        <w:widowControl/>
        <w:ind w:firstLine="560" w:firstLineChars="200"/>
        <w:rPr>
          <w:rFonts w:ascii="仿宋_GB2312" w:eastAsia="仿宋_GB2312"/>
          <w:sz w:val="28"/>
          <w:szCs w:val="28"/>
        </w:rPr>
      </w:pPr>
      <w:r>
        <w:rPr>
          <w:rFonts w:hint="eastAsia" w:ascii="仿宋_GB2312" w:eastAsia="仿宋_GB2312"/>
          <w:sz w:val="28"/>
          <w:szCs w:val="28"/>
        </w:rPr>
        <w:t>2. 遵守学校规章制度;</w:t>
      </w:r>
    </w:p>
    <w:p w14:paraId="15ECA632">
      <w:pPr>
        <w:widowControl/>
        <w:ind w:firstLine="560" w:firstLineChars="200"/>
        <w:rPr>
          <w:rFonts w:ascii="仿宋_GB2312" w:eastAsia="仿宋_GB2312"/>
          <w:sz w:val="28"/>
          <w:szCs w:val="28"/>
        </w:rPr>
      </w:pPr>
      <w:r>
        <w:rPr>
          <w:rFonts w:hint="eastAsia" w:ascii="仿宋_GB2312" w:eastAsia="仿宋_GB2312"/>
          <w:sz w:val="28"/>
          <w:szCs w:val="28"/>
        </w:rPr>
        <w:t>3. 对英语学科有浓厚学习兴趣、具有明确学习目标、具备一定学习能力。</w:t>
      </w:r>
    </w:p>
    <w:p w14:paraId="09EE98B0">
      <w:pPr>
        <w:spacing w:before="156" w:beforeLines="50" w:after="156" w:afterLines="50" w:line="48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四、学分与证书</w:t>
      </w:r>
    </w:p>
    <w:p w14:paraId="519251A0">
      <w:pPr>
        <w:widowControl/>
        <w:ind w:firstLine="560" w:firstLineChars="200"/>
        <w:rPr>
          <w:rFonts w:ascii="宋体" w:hAnsi="宋体"/>
          <w:bCs/>
          <w:sz w:val="28"/>
          <w:szCs w:val="28"/>
        </w:rPr>
      </w:pPr>
      <w:r>
        <w:rPr>
          <w:rFonts w:hint="eastAsia" w:ascii="仿宋_GB2312" w:eastAsia="仿宋_GB2312"/>
          <w:sz w:val="28"/>
          <w:szCs w:val="28"/>
        </w:rPr>
        <w:t>学生在本科毕业或结业离校前，修读完成微专业培养方案规定的课程，且成绩全部合格，获得相应学分，学校颁发微专业证书。</w:t>
      </w:r>
    </w:p>
    <w:p w14:paraId="73DD1E29">
      <w:pPr>
        <w:spacing w:before="156" w:beforeLines="50" w:after="156" w:afterLines="50" w:line="48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五、指导性教学计划进度表</w:t>
      </w:r>
    </w:p>
    <w:p w14:paraId="5CCEB570">
      <w:pPr>
        <w:spacing w:before="156" w:beforeLines="50" w:after="156" w:afterLines="50" w:line="480" w:lineRule="exact"/>
        <w:ind w:firstLine="560" w:firstLineChars="200"/>
        <w:jc w:val="center"/>
        <w:rPr>
          <w:rFonts w:eastAsia="黑体"/>
          <w:bCs/>
          <w:sz w:val="28"/>
          <w:szCs w:val="28"/>
        </w:rPr>
      </w:pPr>
      <w:r>
        <w:rPr>
          <w:rFonts w:hint="eastAsia" w:ascii="黑体" w:hAnsi="黑体" w:eastAsia="黑体"/>
          <w:sz w:val="28"/>
          <w:szCs w:val="28"/>
        </w:rPr>
        <w:t>英语人文素养</w:t>
      </w:r>
      <w:r>
        <w:rPr>
          <w:rFonts w:eastAsia="黑体"/>
          <w:bCs/>
          <w:sz w:val="28"/>
          <w:szCs w:val="28"/>
        </w:rPr>
        <w:t>微专业指导性教学计划进度表</w:t>
      </w:r>
    </w:p>
    <w:tbl>
      <w:tblPr>
        <w:tblStyle w:val="4"/>
        <w:tblpPr w:leftFromText="180" w:rightFromText="180" w:vertAnchor="text" w:horzAnchor="page" w:tblpXSpec="center" w:tblpY="519"/>
        <w:tblOverlap w:val="never"/>
        <w:tblW w:w="51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820"/>
        <w:gridCol w:w="1083"/>
        <w:gridCol w:w="822"/>
        <w:gridCol w:w="832"/>
        <w:gridCol w:w="1149"/>
        <w:gridCol w:w="1135"/>
        <w:gridCol w:w="1274"/>
      </w:tblGrid>
      <w:tr w14:paraId="0FA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96" w:type="pct"/>
            <w:vMerge w:val="restart"/>
            <w:vAlign w:val="center"/>
          </w:tcPr>
          <w:p w14:paraId="731E0B26">
            <w:pPr>
              <w:widowControl/>
              <w:jc w:val="center"/>
              <w:rPr>
                <w:rFonts w:ascii="黑体" w:hAnsi="黑体" w:eastAsia="黑体"/>
                <w:bCs/>
                <w:sz w:val="21"/>
                <w:szCs w:val="21"/>
              </w:rPr>
            </w:pPr>
            <w:r>
              <w:rPr>
                <w:rFonts w:hint="eastAsia" w:ascii="黑体" w:hAnsi="黑体" w:eastAsia="黑体"/>
                <w:bCs/>
                <w:sz w:val="21"/>
                <w:szCs w:val="21"/>
              </w:rPr>
              <w:t>课程名称</w:t>
            </w:r>
          </w:p>
        </w:tc>
        <w:tc>
          <w:tcPr>
            <w:tcW w:w="427" w:type="pct"/>
            <w:vMerge w:val="restart"/>
            <w:vAlign w:val="center"/>
          </w:tcPr>
          <w:p w14:paraId="635226AE">
            <w:pPr>
              <w:widowControl/>
              <w:jc w:val="center"/>
              <w:rPr>
                <w:rFonts w:ascii="黑体" w:hAnsi="黑体" w:eastAsia="黑体"/>
                <w:bCs/>
                <w:spacing w:val="20"/>
                <w:sz w:val="21"/>
                <w:szCs w:val="21"/>
              </w:rPr>
            </w:pPr>
            <w:r>
              <w:rPr>
                <w:rFonts w:hint="eastAsia" w:ascii="黑体" w:hAnsi="黑体" w:eastAsia="黑体"/>
                <w:bCs/>
                <w:sz w:val="21"/>
                <w:szCs w:val="21"/>
              </w:rPr>
              <w:t>学分</w:t>
            </w:r>
          </w:p>
        </w:tc>
        <w:tc>
          <w:tcPr>
            <w:tcW w:w="564" w:type="pct"/>
            <w:vMerge w:val="restart"/>
            <w:vAlign w:val="center"/>
          </w:tcPr>
          <w:p w14:paraId="0365D00D">
            <w:pPr>
              <w:widowControl/>
              <w:jc w:val="center"/>
              <w:rPr>
                <w:rFonts w:ascii="黑体" w:hAnsi="黑体" w:eastAsia="黑体"/>
                <w:bCs/>
                <w:sz w:val="21"/>
                <w:szCs w:val="21"/>
              </w:rPr>
            </w:pPr>
            <w:r>
              <w:rPr>
                <w:rFonts w:ascii="黑体" w:hAnsi="黑体" w:eastAsia="黑体"/>
                <w:bCs/>
                <w:sz w:val="21"/>
                <w:szCs w:val="21"/>
              </w:rPr>
              <w:t>总学时</w:t>
            </w:r>
          </w:p>
        </w:tc>
        <w:tc>
          <w:tcPr>
            <w:tcW w:w="861" w:type="pct"/>
            <w:gridSpan w:val="2"/>
            <w:vAlign w:val="center"/>
          </w:tcPr>
          <w:p w14:paraId="3C77B4F1">
            <w:pPr>
              <w:widowControl/>
              <w:snapToGrid w:val="0"/>
              <w:jc w:val="center"/>
              <w:rPr>
                <w:rFonts w:ascii="黑体" w:hAnsi="黑体" w:eastAsia="黑体"/>
                <w:bCs/>
                <w:sz w:val="21"/>
                <w:szCs w:val="21"/>
              </w:rPr>
            </w:pPr>
            <w:r>
              <w:rPr>
                <w:rFonts w:hint="eastAsia" w:ascii="黑体" w:hAnsi="黑体" w:eastAsia="黑体"/>
                <w:bCs/>
                <w:sz w:val="21"/>
                <w:szCs w:val="21"/>
              </w:rPr>
              <w:t>学时分配</w:t>
            </w:r>
          </w:p>
        </w:tc>
        <w:tc>
          <w:tcPr>
            <w:tcW w:w="598" w:type="pct"/>
            <w:vMerge w:val="restart"/>
            <w:vAlign w:val="center"/>
          </w:tcPr>
          <w:p w14:paraId="7C11EAC4">
            <w:pPr>
              <w:widowControl/>
              <w:snapToGrid w:val="0"/>
              <w:jc w:val="center"/>
              <w:rPr>
                <w:rFonts w:ascii="黑体" w:hAnsi="黑体" w:eastAsia="黑体"/>
                <w:bCs/>
                <w:sz w:val="21"/>
                <w:szCs w:val="21"/>
              </w:rPr>
            </w:pPr>
            <w:r>
              <w:rPr>
                <w:rFonts w:hint="eastAsia" w:ascii="黑体" w:hAnsi="黑体" w:eastAsia="黑体"/>
                <w:bCs/>
                <w:sz w:val="21"/>
                <w:szCs w:val="21"/>
              </w:rPr>
              <w:t>课程性质</w:t>
            </w:r>
          </w:p>
        </w:tc>
        <w:tc>
          <w:tcPr>
            <w:tcW w:w="591" w:type="pct"/>
            <w:vMerge w:val="restart"/>
            <w:vAlign w:val="center"/>
          </w:tcPr>
          <w:p w14:paraId="0CBD7C40">
            <w:pPr>
              <w:widowControl/>
              <w:snapToGrid w:val="0"/>
              <w:jc w:val="center"/>
              <w:rPr>
                <w:rFonts w:ascii="黑体" w:hAnsi="黑体" w:eastAsia="黑体"/>
                <w:bCs/>
                <w:sz w:val="21"/>
                <w:szCs w:val="21"/>
              </w:rPr>
            </w:pPr>
            <w:r>
              <w:rPr>
                <w:rFonts w:hint="eastAsia" w:ascii="黑体" w:hAnsi="黑体" w:eastAsia="黑体"/>
                <w:bCs/>
                <w:sz w:val="21"/>
                <w:szCs w:val="21"/>
              </w:rPr>
              <w:t>考核方式</w:t>
            </w:r>
          </w:p>
        </w:tc>
        <w:tc>
          <w:tcPr>
            <w:tcW w:w="663" w:type="pct"/>
            <w:vMerge w:val="restart"/>
            <w:vAlign w:val="center"/>
          </w:tcPr>
          <w:p w14:paraId="10BEE860">
            <w:pPr>
              <w:widowControl/>
              <w:snapToGrid w:val="0"/>
              <w:jc w:val="center"/>
              <w:rPr>
                <w:rFonts w:ascii="黑体" w:hAnsi="黑体" w:eastAsia="黑体"/>
                <w:bCs/>
                <w:sz w:val="21"/>
                <w:szCs w:val="21"/>
              </w:rPr>
            </w:pPr>
            <w:r>
              <w:rPr>
                <w:rFonts w:ascii="黑体" w:hAnsi="黑体" w:eastAsia="黑体"/>
                <w:bCs/>
                <w:sz w:val="21"/>
                <w:szCs w:val="21"/>
              </w:rPr>
              <w:t>开课</w:t>
            </w:r>
            <w:r>
              <w:rPr>
                <w:rFonts w:hint="eastAsia" w:ascii="黑体" w:hAnsi="黑体" w:eastAsia="黑体"/>
                <w:bCs/>
                <w:spacing w:val="20"/>
                <w:sz w:val="21"/>
                <w:szCs w:val="21"/>
              </w:rPr>
              <w:t>学期</w:t>
            </w:r>
          </w:p>
        </w:tc>
      </w:tr>
      <w:tr w14:paraId="0DD7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6" w:type="pct"/>
            <w:vMerge w:val="continue"/>
            <w:vAlign w:val="center"/>
          </w:tcPr>
          <w:p w14:paraId="0F806629">
            <w:pPr>
              <w:widowControl/>
              <w:jc w:val="center"/>
              <w:rPr>
                <w:rFonts w:ascii="黑体" w:hAnsi="黑体" w:eastAsia="黑体"/>
                <w:bCs/>
                <w:sz w:val="21"/>
                <w:szCs w:val="21"/>
              </w:rPr>
            </w:pPr>
          </w:p>
        </w:tc>
        <w:tc>
          <w:tcPr>
            <w:tcW w:w="427" w:type="pct"/>
            <w:vMerge w:val="continue"/>
            <w:tcBorders>
              <w:bottom w:val="single" w:color="auto" w:sz="4" w:space="0"/>
            </w:tcBorders>
            <w:vAlign w:val="center"/>
          </w:tcPr>
          <w:p w14:paraId="4FB52F29">
            <w:pPr>
              <w:widowControl/>
              <w:jc w:val="center"/>
              <w:rPr>
                <w:rFonts w:ascii="黑体" w:hAnsi="黑体" w:eastAsia="黑体"/>
                <w:bCs/>
                <w:sz w:val="21"/>
                <w:szCs w:val="21"/>
              </w:rPr>
            </w:pPr>
          </w:p>
        </w:tc>
        <w:tc>
          <w:tcPr>
            <w:tcW w:w="564" w:type="pct"/>
            <w:vMerge w:val="continue"/>
            <w:vAlign w:val="center"/>
          </w:tcPr>
          <w:p w14:paraId="039AE33D">
            <w:pPr>
              <w:widowControl/>
              <w:jc w:val="center"/>
              <w:rPr>
                <w:rFonts w:ascii="黑体" w:hAnsi="黑体" w:eastAsia="黑体"/>
                <w:bCs/>
                <w:sz w:val="21"/>
                <w:szCs w:val="21"/>
              </w:rPr>
            </w:pPr>
          </w:p>
        </w:tc>
        <w:tc>
          <w:tcPr>
            <w:tcW w:w="428" w:type="pct"/>
            <w:vAlign w:val="center"/>
          </w:tcPr>
          <w:p w14:paraId="0D1B5BF6">
            <w:pPr>
              <w:widowControl/>
              <w:snapToGrid w:val="0"/>
              <w:jc w:val="center"/>
              <w:rPr>
                <w:rFonts w:ascii="黑体" w:hAnsi="黑体" w:eastAsia="黑体"/>
                <w:bCs/>
                <w:sz w:val="21"/>
                <w:szCs w:val="21"/>
              </w:rPr>
            </w:pPr>
            <w:r>
              <w:rPr>
                <w:rFonts w:hint="eastAsia" w:ascii="黑体" w:hAnsi="黑体" w:eastAsia="黑体"/>
                <w:bCs/>
                <w:sz w:val="21"/>
                <w:szCs w:val="21"/>
              </w:rPr>
              <w:t>理论</w:t>
            </w:r>
          </w:p>
        </w:tc>
        <w:tc>
          <w:tcPr>
            <w:tcW w:w="433" w:type="pct"/>
            <w:vAlign w:val="center"/>
          </w:tcPr>
          <w:p w14:paraId="1ACC9105">
            <w:pPr>
              <w:widowControl/>
              <w:snapToGrid w:val="0"/>
              <w:jc w:val="center"/>
              <w:rPr>
                <w:rFonts w:ascii="黑体" w:hAnsi="黑体" w:eastAsia="黑体"/>
                <w:bCs/>
                <w:sz w:val="21"/>
                <w:szCs w:val="21"/>
              </w:rPr>
            </w:pPr>
            <w:r>
              <w:rPr>
                <w:rFonts w:hint="eastAsia" w:ascii="黑体" w:hAnsi="黑体" w:eastAsia="黑体"/>
                <w:bCs/>
                <w:sz w:val="21"/>
                <w:szCs w:val="21"/>
              </w:rPr>
              <w:t>实践</w:t>
            </w:r>
          </w:p>
        </w:tc>
        <w:tc>
          <w:tcPr>
            <w:tcW w:w="598" w:type="pct"/>
            <w:vMerge w:val="continue"/>
            <w:vAlign w:val="center"/>
          </w:tcPr>
          <w:p w14:paraId="65951E38">
            <w:pPr>
              <w:widowControl/>
              <w:snapToGrid w:val="0"/>
              <w:jc w:val="center"/>
              <w:rPr>
                <w:rFonts w:ascii="黑体" w:hAnsi="黑体" w:eastAsia="黑体"/>
                <w:bCs/>
                <w:sz w:val="21"/>
                <w:szCs w:val="21"/>
              </w:rPr>
            </w:pPr>
          </w:p>
        </w:tc>
        <w:tc>
          <w:tcPr>
            <w:tcW w:w="591" w:type="pct"/>
            <w:vMerge w:val="continue"/>
            <w:tcBorders>
              <w:bottom w:val="single" w:color="auto" w:sz="4" w:space="0"/>
            </w:tcBorders>
            <w:vAlign w:val="center"/>
          </w:tcPr>
          <w:p w14:paraId="3B8BD0E3">
            <w:pPr>
              <w:widowControl/>
              <w:snapToGrid w:val="0"/>
              <w:jc w:val="center"/>
              <w:rPr>
                <w:rFonts w:ascii="黑体" w:hAnsi="黑体" w:eastAsia="黑体"/>
                <w:bCs/>
                <w:sz w:val="21"/>
                <w:szCs w:val="21"/>
              </w:rPr>
            </w:pPr>
          </w:p>
        </w:tc>
        <w:tc>
          <w:tcPr>
            <w:tcW w:w="663" w:type="pct"/>
            <w:vMerge w:val="continue"/>
            <w:tcBorders>
              <w:bottom w:val="single" w:color="auto" w:sz="4" w:space="0"/>
            </w:tcBorders>
            <w:vAlign w:val="center"/>
          </w:tcPr>
          <w:p w14:paraId="66ADE460">
            <w:pPr>
              <w:widowControl/>
              <w:snapToGrid w:val="0"/>
              <w:jc w:val="center"/>
              <w:rPr>
                <w:rFonts w:ascii="黑体" w:hAnsi="黑体" w:eastAsia="黑体"/>
                <w:bCs/>
                <w:sz w:val="21"/>
                <w:szCs w:val="21"/>
              </w:rPr>
            </w:pPr>
          </w:p>
        </w:tc>
      </w:tr>
      <w:tr w14:paraId="4254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6" w:type="pct"/>
            <w:vAlign w:val="center"/>
          </w:tcPr>
          <w:p w14:paraId="691CB915">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英语语法与语篇</w:t>
            </w:r>
          </w:p>
        </w:tc>
        <w:tc>
          <w:tcPr>
            <w:tcW w:w="427" w:type="pct"/>
            <w:vAlign w:val="center"/>
          </w:tcPr>
          <w:p w14:paraId="7D68210F">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w:t>
            </w:r>
          </w:p>
        </w:tc>
        <w:tc>
          <w:tcPr>
            <w:tcW w:w="564" w:type="pct"/>
            <w:vAlign w:val="center"/>
          </w:tcPr>
          <w:p w14:paraId="360311AB">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30</w:t>
            </w:r>
          </w:p>
        </w:tc>
        <w:tc>
          <w:tcPr>
            <w:tcW w:w="428" w:type="pct"/>
            <w:vAlign w:val="center"/>
          </w:tcPr>
          <w:p w14:paraId="13216EC1">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10</w:t>
            </w:r>
          </w:p>
        </w:tc>
        <w:tc>
          <w:tcPr>
            <w:tcW w:w="433" w:type="pct"/>
            <w:vAlign w:val="center"/>
          </w:tcPr>
          <w:p w14:paraId="1229CE33">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20</w:t>
            </w:r>
          </w:p>
        </w:tc>
        <w:tc>
          <w:tcPr>
            <w:tcW w:w="598" w:type="pct"/>
            <w:vAlign w:val="center"/>
          </w:tcPr>
          <w:p w14:paraId="5F505447">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选修</w:t>
            </w:r>
          </w:p>
        </w:tc>
        <w:tc>
          <w:tcPr>
            <w:tcW w:w="591" w:type="pct"/>
            <w:vAlign w:val="center"/>
          </w:tcPr>
          <w:p w14:paraId="5D162918">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考查</w:t>
            </w:r>
          </w:p>
        </w:tc>
        <w:tc>
          <w:tcPr>
            <w:tcW w:w="663" w:type="pct"/>
          </w:tcPr>
          <w:p w14:paraId="23C1BD60">
            <w:pPr>
              <w:widowControl/>
              <w:spacing w:line="360" w:lineRule="auto"/>
              <w:jc w:val="center"/>
              <w:rPr>
                <w:rFonts w:ascii="仿宋" w:hAnsi="仿宋" w:eastAsia="仿宋"/>
                <w:bCs/>
                <w:color w:val="000000" w:themeColor="text1"/>
                <w:spacing w:val="20"/>
                <w:sz w:val="21"/>
                <w:szCs w:val="21"/>
                <w14:textFill>
                  <w14:solidFill>
                    <w14:schemeClr w14:val="tx1"/>
                  </w14:solidFill>
                </w14:textFill>
              </w:rPr>
            </w:pPr>
            <w:r>
              <w:rPr>
                <w:rFonts w:hint="eastAsia" w:ascii="仿宋" w:hAnsi="仿宋" w:eastAsia="仿宋"/>
                <w:sz w:val="21"/>
                <w:szCs w:val="21"/>
              </w:rPr>
              <w:t>春季学期</w:t>
            </w:r>
          </w:p>
        </w:tc>
      </w:tr>
      <w:tr w14:paraId="6BDA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6" w:type="pct"/>
            <w:vAlign w:val="center"/>
          </w:tcPr>
          <w:p w14:paraId="25801A44">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英语分析性阅读与写作</w:t>
            </w:r>
          </w:p>
        </w:tc>
        <w:tc>
          <w:tcPr>
            <w:tcW w:w="427" w:type="pct"/>
            <w:vAlign w:val="center"/>
          </w:tcPr>
          <w:p w14:paraId="56E6768D">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w:t>
            </w:r>
          </w:p>
        </w:tc>
        <w:tc>
          <w:tcPr>
            <w:tcW w:w="564" w:type="pct"/>
            <w:vAlign w:val="center"/>
          </w:tcPr>
          <w:p w14:paraId="362B1360">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30</w:t>
            </w:r>
          </w:p>
        </w:tc>
        <w:tc>
          <w:tcPr>
            <w:tcW w:w="428" w:type="pct"/>
            <w:vAlign w:val="center"/>
          </w:tcPr>
          <w:p w14:paraId="731DB63F">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10</w:t>
            </w:r>
          </w:p>
        </w:tc>
        <w:tc>
          <w:tcPr>
            <w:tcW w:w="433" w:type="pct"/>
            <w:vAlign w:val="center"/>
          </w:tcPr>
          <w:p w14:paraId="293596B9">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20</w:t>
            </w:r>
          </w:p>
        </w:tc>
        <w:tc>
          <w:tcPr>
            <w:tcW w:w="598" w:type="pct"/>
            <w:vAlign w:val="center"/>
          </w:tcPr>
          <w:p w14:paraId="76153A76">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选修</w:t>
            </w:r>
          </w:p>
        </w:tc>
        <w:tc>
          <w:tcPr>
            <w:tcW w:w="591" w:type="pct"/>
            <w:vAlign w:val="center"/>
          </w:tcPr>
          <w:p w14:paraId="54350437">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考查</w:t>
            </w:r>
          </w:p>
        </w:tc>
        <w:tc>
          <w:tcPr>
            <w:tcW w:w="663" w:type="pct"/>
          </w:tcPr>
          <w:p w14:paraId="709FF17B">
            <w:pPr>
              <w:widowControl/>
              <w:spacing w:line="360" w:lineRule="auto"/>
              <w:jc w:val="center"/>
              <w:rPr>
                <w:rFonts w:ascii="仿宋" w:hAnsi="仿宋" w:eastAsia="仿宋"/>
                <w:bCs/>
                <w:color w:val="000000" w:themeColor="text1"/>
                <w:spacing w:val="20"/>
                <w:sz w:val="21"/>
                <w:szCs w:val="21"/>
                <w14:textFill>
                  <w14:solidFill>
                    <w14:schemeClr w14:val="tx1"/>
                  </w14:solidFill>
                </w14:textFill>
              </w:rPr>
            </w:pPr>
            <w:r>
              <w:rPr>
                <w:rFonts w:hint="eastAsia" w:ascii="仿宋" w:hAnsi="仿宋" w:eastAsia="仿宋"/>
                <w:sz w:val="21"/>
                <w:szCs w:val="21"/>
              </w:rPr>
              <w:t>春季学期</w:t>
            </w:r>
          </w:p>
        </w:tc>
      </w:tr>
      <w:tr w14:paraId="04DA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6" w:type="pct"/>
            <w:vAlign w:val="center"/>
          </w:tcPr>
          <w:p w14:paraId="268729B9">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跨文化交际与</w:t>
            </w:r>
            <w:r>
              <w:rPr>
                <w:rFonts w:hint="eastAsia" w:eastAsia="仿宋_GB2312"/>
                <w:bCs/>
                <w:color w:val="000000" w:themeColor="text1"/>
                <w:spacing w:val="20"/>
                <w:sz w:val="21"/>
                <w:szCs w:val="21"/>
                <w14:textFill>
                  <w14:solidFill>
                    <w14:schemeClr w14:val="tx1"/>
                  </w14:solidFill>
                </w14:textFill>
              </w:rPr>
              <w:t>全球素养</w:t>
            </w:r>
          </w:p>
        </w:tc>
        <w:tc>
          <w:tcPr>
            <w:tcW w:w="427" w:type="pct"/>
            <w:vAlign w:val="center"/>
          </w:tcPr>
          <w:p w14:paraId="548BA10E">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w:t>
            </w:r>
          </w:p>
        </w:tc>
        <w:tc>
          <w:tcPr>
            <w:tcW w:w="564" w:type="pct"/>
            <w:vAlign w:val="center"/>
          </w:tcPr>
          <w:p w14:paraId="66349D43">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30</w:t>
            </w:r>
          </w:p>
        </w:tc>
        <w:tc>
          <w:tcPr>
            <w:tcW w:w="428" w:type="pct"/>
            <w:vAlign w:val="center"/>
          </w:tcPr>
          <w:p w14:paraId="66D337DC">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10</w:t>
            </w:r>
          </w:p>
        </w:tc>
        <w:tc>
          <w:tcPr>
            <w:tcW w:w="433" w:type="pct"/>
            <w:vAlign w:val="center"/>
          </w:tcPr>
          <w:p w14:paraId="006F763D">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20</w:t>
            </w:r>
          </w:p>
        </w:tc>
        <w:tc>
          <w:tcPr>
            <w:tcW w:w="598" w:type="pct"/>
            <w:vAlign w:val="center"/>
          </w:tcPr>
          <w:p w14:paraId="42198ADC">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选修</w:t>
            </w:r>
          </w:p>
        </w:tc>
        <w:tc>
          <w:tcPr>
            <w:tcW w:w="591" w:type="pct"/>
            <w:vAlign w:val="center"/>
          </w:tcPr>
          <w:p w14:paraId="3F12BD87">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考查</w:t>
            </w:r>
          </w:p>
        </w:tc>
        <w:tc>
          <w:tcPr>
            <w:tcW w:w="663" w:type="pct"/>
          </w:tcPr>
          <w:p w14:paraId="16500E50">
            <w:pPr>
              <w:widowControl/>
              <w:spacing w:line="360" w:lineRule="auto"/>
              <w:jc w:val="center"/>
              <w:rPr>
                <w:rFonts w:ascii="仿宋" w:hAnsi="仿宋" w:eastAsia="仿宋"/>
                <w:bCs/>
                <w:color w:val="000000" w:themeColor="text1"/>
                <w:spacing w:val="20"/>
                <w:sz w:val="21"/>
                <w:szCs w:val="21"/>
                <w14:textFill>
                  <w14:solidFill>
                    <w14:schemeClr w14:val="tx1"/>
                  </w14:solidFill>
                </w14:textFill>
              </w:rPr>
            </w:pPr>
            <w:r>
              <w:rPr>
                <w:rFonts w:hint="eastAsia" w:ascii="仿宋" w:hAnsi="仿宋" w:eastAsia="仿宋"/>
                <w:sz w:val="21"/>
                <w:szCs w:val="21"/>
              </w:rPr>
              <w:t>春季学期</w:t>
            </w:r>
          </w:p>
        </w:tc>
      </w:tr>
      <w:tr w14:paraId="316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6" w:type="pct"/>
            <w:vAlign w:val="center"/>
          </w:tcPr>
          <w:p w14:paraId="2A58396A">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英语修辞与文体写作</w:t>
            </w:r>
          </w:p>
        </w:tc>
        <w:tc>
          <w:tcPr>
            <w:tcW w:w="427" w:type="pct"/>
            <w:vAlign w:val="center"/>
          </w:tcPr>
          <w:p w14:paraId="6C1F856A">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w:t>
            </w:r>
          </w:p>
        </w:tc>
        <w:tc>
          <w:tcPr>
            <w:tcW w:w="564" w:type="pct"/>
            <w:vAlign w:val="center"/>
          </w:tcPr>
          <w:p w14:paraId="3868E84D">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30</w:t>
            </w:r>
          </w:p>
        </w:tc>
        <w:tc>
          <w:tcPr>
            <w:tcW w:w="428" w:type="pct"/>
            <w:vAlign w:val="center"/>
          </w:tcPr>
          <w:p w14:paraId="0372D933">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10</w:t>
            </w:r>
          </w:p>
        </w:tc>
        <w:tc>
          <w:tcPr>
            <w:tcW w:w="433" w:type="pct"/>
            <w:vAlign w:val="center"/>
          </w:tcPr>
          <w:p w14:paraId="068A6C6A">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20</w:t>
            </w:r>
          </w:p>
        </w:tc>
        <w:tc>
          <w:tcPr>
            <w:tcW w:w="598" w:type="pct"/>
            <w:vAlign w:val="center"/>
          </w:tcPr>
          <w:p w14:paraId="2F0A46F5">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选修</w:t>
            </w:r>
          </w:p>
        </w:tc>
        <w:tc>
          <w:tcPr>
            <w:tcW w:w="591" w:type="pct"/>
            <w:vAlign w:val="center"/>
          </w:tcPr>
          <w:p w14:paraId="6B049A56">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考查</w:t>
            </w:r>
          </w:p>
        </w:tc>
        <w:tc>
          <w:tcPr>
            <w:tcW w:w="663" w:type="pct"/>
          </w:tcPr>
          <w:p w14:paraId="43845839">
            <w:pPr>
              <w:widowControl/>
              <w:spacing w:line="360" w:lineRule="auto"/>
              <w:jc w:val="center"/>
              <w:rPr>
                <w:rFonts w:ascii="仿宋" w:hAnsi="仿宋" w:eastAsia="仿宋"/>
                <w:bCs/>
                <w:color w:val="000000" w:themeColor="text1"/>
                <w:spacing w:val="20"/>
                <w:sz w:val="21"/>
                <w:szCs w:val="21"/>
                <w14:textFill>
                  <w14:solidFill>
                    <w14:schemeClr w14:val="tx1"/>
                  </w14:solidFill>
                </w14:textFill>
              </w:rPr>
            </w:pPr>
            <w:r>
              <w:rPr>
                <w:rFonts w:hint="eastAsia" w:ascii="仿宋" w:hAnsi="仿宋" w:eastAsia="仿宋"/>
                <w:sz w:val="21"/>
                <w:szCs w:val="21"/>
              </w:rPr>
              <w:t>秋季学期</w:t>
            </w:r>
          </w:p>
        </w:tc>
      </w:tr>
      <w:tr w14:paraId="527D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6" w:type="pct"/>
            <w:vAlign w:val="center"/>
          </w:tcPr>
          <w:p w14:paraId="03CBDEBC">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笔译理论与实践（英译汉）</w:t>
            </w:r>
          </w:p>
        </w:tc>
        <w:tc>
          <w:tcPr>
            <w:tcW w:w="427" w:type="pct"/>
            <w:vAlign w:val="center"/>
          </w:tcPr>
          <w:p w14:paraId="2CA59031">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w:t>
            </w:r>
          </w:p>
        </w:tc>
        <w:tc>
          <w:tcPr>
            <w:tcW w:w="564" w:type="pct"/>
            <w:vAlign w:val="center"/>
          </w:tcPr>
          <w:p w14:paraId="683D8EFF">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30</w:t>
            </w:r>
          </w:p>
        </w:tc>
        <w:tc>
          <w:tcPr>
            <w:tcW w:w="428" w:type="pct"/>
            <w:vAlign w:val="center"/>
          </w:tcPr>
          <w:p w14:paraId="1D9885B9">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10</w:t>
            </w:r>
          </w:p>
        </w:tc>
        <w:tc>
          <w:tcPr>
            <w:tcW w:w="433" w:type="pct"/>
            <w:vAlign w:val="center"/>
          </w:tcPr>
          <w:p w14:paraId="7FEE2C63">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20</w:t>
            </w:r>
          </w:p>
        </w:tc>
        <w:tc>
          <w:tcPr>
            <w:tcW w:w="598" w:type="pct"/>
            <w:vAlign w:val="center"/>
          </w:tcPr>
          <w:p w14:paraId="3C43D818">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选修</w:t>
            </w:r>
          </w:p>
        </w:tc>
        <w:tc>
          <w:tcPr>
            <w:tcW w:w="591" w:type="pct"/>
            <w:vAlign w:val="center"/>
          </w:tcPr>
          <w:p w14:paraId="04FF633B">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考查</w:t>
            </w:r>
          </w:p>
        </w:tc>
        <w:tc>
          <w:tcPr>
            <w:tcW w:w="663" w:type="pct"/>
          </w:tcPr>
          <w:p w14:paraId="494484CE">
            <w:pPr>
              <w:widowControl/>
              <w:spacing w:line="360" w:lineRule="auto"/>
              <w:jc w:val="center"/>
              <w:rPr>
                <w:rFonts w:ascii="仿宋" w:hAnsi="仿宋" w:eastAsia="仿宋"/>
                <w:bCs/>
                <w:color w:val="000000" w:themeColor="text1"/>
                <w:spacing w:val="20"/>
                <w:sz w:val="21"/>
                <w:szCs w:val="21"/>
                <w14:textFill>
                  <w14:solidFill>
                    <w14:schemeClr w14:val="tx1"/>
                  </w14:solidFill>
                </w14:textFill>
              </w:rPr>
            </w:pPr>
            <w:r>
              <w:rPr>
                <w:rFonts w:hint="eastAsia" w:ascii="仿宋" w:hAnsi="仿宋" w:eastAsia="仿宋"/>
                <w:sz w:val="21"/>
                <w:szCs w:val="21"/>
              </w:rPr>
              <w:t>秋季</w:t>
            </w:r>
            <w:bookmarkStart w:id="0" w:name="_GoBack"/>
            <w:bookmarkEnd w:id="0"/>
            <w:r>
              <w:rPr>
                <w:rFonts w:hint="eastAsia" w:ascii="仿宋" w:hAnsi="仿宋" w:eastAsia="仿宋"/>
                <w:sz w:val="21"/>
                <w:szCs w:val="21"/>
              </w:rPr>
              <w:t>学期</w:t>
            </w:r>
          </w:p>
        </w:tc>
      </w:tr>
      <w:tr w14:paraId="5419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96" w:type="pct"/>
            <w:tcBorders>
              <w:bottom w:val="single" w:color="auto" w:sz="4" w:space="0"/>
            </w:tcBorders>
            <w:vAlign w:val="center"/>
          </w:tcPr>
          <w:p w14:paraId="2AAA3248">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合计</w:t>
            </w:r>
          </w:p>
        </w:tc>
        <w:tc>
          <w:tcPr>
            <w:tcW w:w="427" w:type="pct"/>
            <w:tcBorders>
              <w:bottom w:val="single" w:color="auto" w:sz="4" w:space="0"/>
            </w:tcBorders>
            <w:vAlign w:val="center"/>
          </w:tcPr>
          <w:p w14:paraId="28508F0D">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10</w:t>
            </w:r>
          </w:p>
        </w:tc>
        <w:tc>
          <w:tcPr>
            <w:tcW w:w="564" w:type="pct"/>
            <w:tcBorders>
              <w:bottom w:val="single" w:color="auto" w:sz="4" w:space="0"/>
            </w:tcBorders>
            <w:vAlign w:val="center"/>
          </w:tcPr>
          <w:p w14:paraId="6B1D101D">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150</w:t>
            </w:r>
          </w:p>
        </w:tc>
        <w:tc>
          <w:tcPr>
            <w:tcW w:w="428" w:type="pct"/>
            <w:tcBorders>
              <w:bottom w:val="single" w:color="auto" w:sz="4" w:space="0"/>
            </w:tcBorders>
            <w:vAlign w:val="center"/>
          </w:tcPr>
          <w:p w14:paraId="0657AF29">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50</w:t>
            </w:r>
          </w:p>
        </w:tc>
        <w:tc>
          <w:tcPr>
            <w:tcW w:w="433" w:type="pct"/>
            <w:tcBorders>
              <w:bottom w:val="single" w:color="auto" w:sz="4" w:space="0"/>
            </w:tcBorders>
            <w:vAlign w:val="center"/>
          </w:tcPr>
          <w:p w14:paraId="040431FB">
            <w:pPr>
              <w:widowControl/>
              <w:jc w:val="center"/>
              <w:rPr>
                <w:rFonts w:eastAsia="仿宋_GB2312"/>
                <w:bCs/>
                <w:color w:val="000000" w:themeColor="text1"/>
                <w:spacing w:val="20"/>
                <w:sz w:val="21"/>
                <w:szCs w:val="21"/>
                <w14:textFill>
                  <w14:solidFill>
                    <w14:schemeClr w14:val="tx1"/>
                  </w14:solidFill>
                </w14:textFill>
              </w:rPr>
            </w:pPr>
            <w:r>
              <w:rPr>
                <w:rFonts w:eastAsia="仿宋_GB2312"/>
                <w:bCs/>
                <w:color w:val="000000" w:themeColor="text1"/>
                <w:spacing w:val="20"/>
                <w:sz w:val="21"/>
                <w:szCs w:val="21"/>
                <w14:textFill>
                  <w14:solidFill>
                    <w14:schemeClr w14:val="tx1"/>
                  </w14:solidFill>
                </w14:textFill>
              </w:rPr>
              <w:t>100</w:t>
            </w:r>
          </w:p>
        </w:tc>
        <w:tc>
          <w:tcPr>
            <w:tcW w:w="598" w:type="pct"/>
            <w:tcBorders>
              <w:bottom w:val="single" w:color="auto" w:sz="4" w:space="0"/>
            </w:tcBorders>
            <w:vAlign w:val="center"/>
          </w:tcPr>
          <w:p w14:paraId="2AC874A4">
            <w:pPr>
              <w:widowControl/>
              <w:jc w:val="center"/>
              <w:rPr>
                <w:rFonts w:eastAsia="仿宋_GB2312"/>
                <w:bCs/>
                <w:color w:val="000000" w:themeColor="text1"/>
                <w:spacing w:val="20"/>
                <w:sz w:val="21"/>
                <w:szCs w:val="21"/>
                <w14:textFill>
                  <w14:solidFill>
                    <w14:schemeClr w14:val="tx1"/>
                  </w14:solidFill>
                </w14:textFill>
              </w:rPr>
            </w:pPr>
          </w:p>
        </w:tc>
        <w:tc>
          <w:tcPr>
            <w:tcW w:w="591" w:type="pct"/>
            <w:tcBorders>
              <w:bottom w:val="single" w:color="auto" w:sz="4" w:space="0"/>
            </w:tcBorders>
            <w:vAlign w:val="center"/>
          </w:tcPr>
          <w:p w14:paraId="3E23AD51">
            <w:pPr>
              <w:widowControl/>
              <w:jc w:val="center"/>
              <w:rPr>
                <w:rFonts w:eastAsia="仿宋_GB2312"/>
                <w:bCs/>
                <w:color w:val="000000" w:themeColor="text1"/>
                <w:spacing w:val="20"/>
                <w:sz w:val="21"/>
                <w:szCs w:val="21"/>
                <w14:textFill>
                  <w14:solidFill>
                    <w14:schemeClr w14:val="tx1"/>
                  </w14:solidFill>
                </w14:textFill>
              </w:rPr>
            </w:pPr>
          </w:p>
        </w:tc>
        <w:tc>
          <w:tcPr>
            <w:tcW w:w="663" w:type="pct"/>
            <w:tcBorders>
              <w:bottom w:val="single" w:color="auto" w:sz="4" w:space="0"/>
            </w:tcBorders>
            <w:vAlign w:val="center"/>
          </w:tcPr>
          <w:p w14:paraId="62A966E6">
            <w:pPr>
              <w:widowControl/>
              <w:jc w:val="center"/>
              <w:rPr>
                <w:rFonts w:eastAsia="仿宋_GB2312"/>
                <w:bCs/>
                <w:color w:val="000000" w:themeColor="text1"/>
                <w:spacing w:val="20"/>
                <w:sz w:val="21"/>
                <w:szCs w:val="21"/>
                <w14:textFill>
                  <w14:solidFill>
                    <w14:schemeClr w14:val="tx1"/>
                  </w14:solidFill>
                </w14:textFill>
              </w:rPr>
            </w:pPr>
          </w:p>
        </w:tc>
      </w:tr>
    </w:tbl>
    <w:p w14:paraId="1BFA77E3">
      <w:pPr>
        <w:widowControl/>
        <w:spacing w:line="360" w:lineRule="auto"/>
        <w:ind w:firstLine="523" w:firstLineChars="187"/>
        <w:jc w:val="left"/>
        <w:rPr>
          <w:rFonts w:ascii="黑体" w:hAnsi="黑体" w:eastAsia="黑体" w:cs="黑体"/>
          <w:bCs/>
          <w:sz w:val="28"/>
          <w:szCs w:val="28"/>
        </w:rPr>
      </w:pPr>
      <w:r>
        <w:rPr>
          <w:rFonts w:hint="eastAsia" w:ascii="黑体" w:hAnsi="黑体" w:eastAsia="黑体" w:cs="黑体"/>
          <w:bCs/>
          <w:sz w:val="28"/>
          <w:szCs w:val="28"/>
        </w:rPr>
        <w:t>六、课程简介</w:t>
      </w:r>
    </w:p>
    <w:tbl>
      <w:tblPr>
        <w:tblStyle w:val="4"/>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154"/>
        <w:gridCol w:w="6023"/>
      </w:tblGrid>
      <w:tr w14:paraId="2953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28" w:type="dxa"/>
            <w:tcBorders>
              <w:top w:val="single" w:color="auto" w:sz="4" w:space="0"/>
            </w:tcBorders>
            <w:vAlign w:val="center"/>
          </w:tcPr>
          <w:p w14:paraId="23FABFF7">
            <w:pPr>
              <w:widowControl/>
              <w:jc w:val="center"/>
              <w:rPr>
                <w:rFonts w:ascii="黑体" w:hAnsi="黑体" w:eastAsia="黑体" w:cs="黑体"/>
                <w:bCs/>
                <w:spacing w:val="20"/>
                <w:sz w:val="21"/>
                <w:szCs w:val="21"/>
              </w:rPr>
            </w:pPr>
            <w:r>
              <w:rPr>
                <w:rFonts w:hint="eastAsia" w:ascii="黑体" w:hAnsi="黑体" w:eastAsia="黑体" w:cs="黑体"/>
                <w:bCs/>
                <w:spacing w:val="20"/>
                <w:sz w:val="21"/>
                <w:szCs w:val="21"/>
              </w:rPr>
              <w:t>序号</w:t>
            </w:r>
          </w:p>
        </w:tc>
        <w:tc>
          <w:tcPr>
            <w:tcW w:w="2154" w:type="dxa"/>
            <w:tcBorders>
              <w:top w:val="single" w:color="auto" w:sz="4" w:space="0"/>
            </w:tcBorders>
            <w:vAlign w:val="center"/>
          </w:tcPr>
          <w:p w14:paraId="5300F9AD">
            <w:pPr>
              <w:widowControl/>
              <w:jc w:val="center"/>
              <w:rPr>
                <w:rFonts w:ascii="黑体" w:hAnsi="黑体" w:eastAsia="黑体" w:cs="黑体"/>
                <w:bCs/>
                <w:spacing w:val="20"/>
                <w:sz w:val="21"/>
                <w:szCs w:val="21"/>
              </w:rPr>
            </w:pPr>
            <w:r>
              <w:rPr>
                <w:rFonts w:hint="eastAsia" w:ascii="黑体" w:hAnsi="黑体" w:eastAsia="黑体" w:cs="黑体"/>
                <w:bCs/>
                <w:spacing w:val="20"/>
                <w:sz w:val="21"/>
                <w:szCs w:val="21"/>
              </w:rPr>
              <w:t>课程名称</w:t>
            </w:r>
          </w:p>
        </w:tc>
        <w:tc>
          <w:tcPr>
            <w:tcW w:w="6023" w:type="dxa"/>
            <w:tcBorders>
              <w:top w:val="single" w:color="auto" w:sz="4" w:space="0"/>
              <w:bottom w:val="single" w:color="auto" w:sz="4" w:space="0"/>
            </w:tcBorders>
            <w:vAlign w:val="center"/>
          </w:tcPr>
          <w:p w14:paraId="005B8980">
            <w:pPr>
              <w:widowControl/>
              <w:jc w:val="center"/>
              <w:rPr>
                <w:rFonts w:ascii="黑体" w:hAnsi="黑体" w:eastAsia="黑体" w:cs="黑体"/>
                <w:bCs/>
                <w:sz w:val="21"/>
                <w:szCs w:val="21"/>
              </w:rPr>
            </w:pPr>
            <w:r>
              <w:rPr>
                <w:rFonts w:hint="eastAsia" w:ascii="黑体" w:hAnsi="黑体" w:eastAsia="黑体" w:cs="黑体"/>
                <w:bCs/>
                <w:spacing w:val="20"/>
                <w:sz w:val="21"/>
                <w:szCs w:val="21"/>
              </w:rPr>
              <w:t>课程简介</w:t>
            </w:r>
          </w:p>
        </w:tc>
      </w:tr>
      <w:tr w14:paraId="094E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exact"/>
          <w:jc w:val="center"/>
        </w:trPr>
        <w:tc>
          <w:tcPr>
            <w:tcW w:w="1128" w:type="dxa"/>
            <w:vAlign w:val="center"/>
          </w:tcPr>
          <w:p w14:paraId="05C72216">
            <w:pPr>
              <w:widowControl/>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w:t>
            </w:r>
          </w:p>
        </w:tc>
        <w:tc>
          <w:tcPr>
            <w:tcW w:w="2154" w:type="dxa"/>
            <w:vAlign w:val="center"/>
          </w:tcPr>
          <w:p w14:paraId="7CB97DB7">
            <w:pPr>
              <w:widowControl/>
              <w:jc w:val="center"/>
              <w:rPr>
                <w:rFonts w:ascii="仿宋_GB2312" w:hAnsi="仿宋_GB2312" w:eastAsia="仿宋_GB2312" w:cs="仿宋_GB2312"/>
                <w:bCs/>
                <w:sz w:val="21"/>
                <w:szCs w:val="21"/>
              </w:rPr>
            </w:pPr>
            <w:r>
              <w:rPr>
                <w:rFonts w:eastAsia="仿宋_GB2312"/>
                <w:bCs/>
                <w:color w:val="000000" w:themeColor="text1"/>
                <w:spacing w:val="20"/>
                <w:sz w:val="21"/>
                <w:szCs w:val="21"/>
                <w14:textFill>
                  <w14:solidFill>
                    <w14:schemeClr w14:val="tx1"/>
                  </w14:solidFill>
                </w14:textFill>
              </w:rPr>
              <w:t>英语语法与语篇</w:t>
            </w:r>
          </w:p>
        </w:tc>
        <w:tc>
          <w:tcPr>
            <w:tcW w:w="6023" w:type="dxa"/>
            <w:tcBorders>
              <w:top w:val="single" w:color="auto" w:sz="4" w:space="0"/>
              <w:bottom w:val="single" w:color="auto" w:sz="4" w:space="0"/>
            </w:tcBorders>
            <w:vAlign w:val="center"/>
          </w:tcPr>
          <w:p w14:paraId="58395E93">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本课程兼具基础性与实用性的核心课程，旨在突破传统语法碎片化教学局限，搭建“语法规则—语篇应用”一体化知识体系。</w:t>
            </w:r>
          </w:p>
          <w:p w14:paraId="2BEE16AE">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课程分为两大核心模块。语法模块精讲从句嵌套、非谓语动词、特殊句式等重难点，帮助学生夯实句子构造基础，精准拆解复杂长难句；语篇模块聚焦衔接连贯手段、篇章结构模式、主旨提炼方法，引导学生理解议论文、说明文等不同体裁的语篇逻辑，掌握从句子到篇章的语言组织技巧。</w:t>
            </w:r>
          </w:p>
          <w:p w14:paraId="1369234F">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本课程既夯实学生英语基本功，又精准对接考研英语以及雅思备考的需求。语法知识助力扫清阅读、听力的句式障碍，提升信息抓取效率；语篇技巧优化写作逻辑框架与表达连贯性，助力学生在各类考试中脱颖而出。</w:t>
            </w:r>
          </w:p>
        </w:tc>
      </w:tr>
      <w:tr w14:paraId="46D8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exact"/>
          <w:jc w:val="center"/>
        </w:trPr>
        <w:tc>
          <w:tcPr>
            <w:tcW w:w="1128" w:type="dxa"/>
            <w:vAlign w:val="center"/>
          </w:tcPr>
          <w:p w14:paraId="6F56B075">
            <w:pPr>
              <w:widowControl/>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2</w:t>
            </w:r>
          </w:p>
        </w:tc>
        <w:tc>
          <w:tcPr>
            <w:tcW w:w="2154" w:type="dxa"/>
            <w:vAlign w:val="center"/>
          </w:tcPr>
          <w:p w14:paraId="2C428520">
            <w:pPr>
              <w:widowControl/>
              <w:jc w:val="center"/>
              <w:rPr>
                <w:rFonts w:ascii="仿宋_GB2312" w:hAnsi="仿宋_GB2312" w:eastAsia="仿宋_GB2312" w:cs="仿宋_GB2312"/>
                <w:bCs/>
                <w:sz w:val="21"/>
                <w:szCs w:val="21"/>
              </w:rPr>
            </w:pPr>
            <w:r>
              <w:rPr>
                <w:rFonts w:eastAsia="仿宋_GB2312"/>
                <w:bCs/>
                <w:color w:val="000000" w:themeColor="text1"/>
                <w:spacing w:val="20"/>
                <w:sz w:val="21"/>
                <w:szCs w:val="21"/>
                <w14:textFill>
                  <w14:solidFill>
                    <w14:schemeClr w14:val="tx1"/>
                  </w14:solidFill>
                </w14:textFill>
              </w:rPr>
              <w:t>英语分析性阅读与写作</w:t>
            </w:r>
          </w:p>
        </w:tc>
        <w:tc>
          <w:tcPr>
            <w:tcW w:w="6023" w:type="dxa"/>
            <w:tcBorders>
              <w:top w:val="single" w:color="auto" w:sz="4" w:space="0"/>
              <w:bottom w:val="single" w:color="auto" w:sz="4" w:space="0"/>
            </w:tcBorders>
            <w:vAlign w:val="center"/>
          </w:tcPr>
          <w:p w14:paraId="389BF047">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本课程依据第二语言习得中输入—输出假设原则，将输入与输出相结合，通过提高语言输入能力，促进语言输出能力发展，达到增强外语表达核心竞争力的目的。课程强调以读促思，以读促写。通过阅读大量学生范文和专业作家作品，帮助学生理解英语文章在语篇内容、结构、条理、衔接和连贯以及语言上的特点，并在此基础上传授英文读写基本技巧；通过大量实践练习增强学生的语言运用能力和逻辑思维能力，从而达到解决实际问题的能力。</w:t>
            </w:r>
          </w:p>
        </w:tc>
      </w:tr>
      <w:tr w14:paraId="0787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2" w:hRule="exact"/>
          <w:jc w:val="center"/>
        </w:trPr>
        <w:tc>
          <w:tcPr>
            <w:tcW w:w="1128" w:type="dxa"/>
            <w:vAlign w:val="center"/>
          </w:tcPr>
          <w:p w14:paraId="0BEF1DD9">
            <w:pPr>
              <w:widowControl/>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3</w:t>
            </w:r>
          </w:p>
        </w:tc>
        <w:tc>
          <w:tcPr>
            <w:tcW w:w="2154" w:type="dxa"/>
            <w:vAlign w:val="center"/>
          </w:tcPr>
          <w:p w14:paraId="610999CC">
            <w:pPr>
              <w:widowControl/>
              <w:jc w:val="center"/>
              <w:rPr>
                <w:rFonts w:ascii="仿宋_GB2312" w:hAnsi="仿宋_GB2312" w:eastAsia="仿宋_GB2312" w:cs="仿宋_GB2312"/>
                <w:bCs/>
                <w:sz w:val="21"/>
                <w:szCs w:val="21"/>
              </w:rPr>
            </w:pPr>
            <w:r>
              <w:rPr>
                <w:rFonts w:hint="eastAsia" w:eastAsia="仿宋_GB2312"/>
                <w:bCs/>
                <w:color w:val="000000" w:themeColor="text1"/>
                <w:spacing w:val="20"/>
                <w:sz w:val="21"/>
                <w:szCs w:val="21"/>
                <w14:textFill>
                  <w14:solidFill>
                    <w14:schemeClr w14:val="tx1"/>
                  </w14:solidFill>
                </w14:textFill>
              </w:rPr>
              <w:t>跨文化交际与全球素养</w:t>
            </w:r>
          </w:p>
        </w:tc>
        <w:tc>
          <w:tcPr>
            <w:tcW w:w="6023" w:type="dxa"/>
            <w:tcBorders>
              <w:top w:val="single" w:color="auto" w:sz="4" w:space="0"/>
              <w:bottom w:val="single" w:color="auto" w:sz="4" w:space="0"/>
            </w:tcBorders>
            <w:vAlign w:val="center"/>
          </w:tcPr>
          <w:p w14:paraId="3613CE04">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本课程是在第四学期为学生开设的一门选修课程，以跨文化交际与全球素养为核心框架，系统提升学生在翻译与写作中所需的跨文化理解力、批判思维与精准语言表达能力。</w:t>
            </w:r>
          </w:p>
          <w:p w14:paraId="30D34938">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本课程旨在培养学生掌握跨文化交际知识，在英语语言学习和应用过程中运用跨文化交际基础理论提高人文素养和学科素养，了解不同文化交际的特点和差异性，掌握在跨文化语境中的交际技巧和策略，提高学生的跨文化交际中语言运用能力，培养学生反思能力、批判性思维能力和合作交流能力。</w:t>
            </w:r>
          </w:p>
          <w:p w14:paraId="10E0A370">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通过本课程的学习，培养学生具备国际视野和中国情怀，具有正确的世界观、人生观和价值观，并能够对世界和中国发展趋势具有正确认识，热爱祖国；掌握跨文化交际领域的基本概念和理论，运用跨文化交际理论来分析文化冲突和进行文化比较，养成反思习惯。</w:t>
            </w:r>
          </w:p>
        </w:tc>
      </w:tr>
      <w:tr w14:paraId="070D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4" w:hRule="exact"/>
          <w:jc w:val="center"/>
        </w:trPr>
        <w:tc>
          <w:tcPr>
            <w:tcW w:w="1128" w:type="dxa"/>
            <w:vAlign w:val="center"/>
          </w:tcPr>
          <w:p w14:paraId="3BD08FA6">
            <w:pPr>
              <w:widowControl/>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4</w:t>
            </w:r>
          </w:p>
        </w:tc>
        <w:tc>
          <w:tcPr>
            <w:tcW w:w="2154" w:type="dxa"/>
            <w:vAlign w:val="center"/>
          </w:tcPr>
          <w:p w14:paraId="514217D3">
            <w:pPr>
              <w:widowControl/>
              <w:jc w:val="center"/>
              <w:rPr>
                <w:rFonts w:ascii="仿宋_GB2312" w:hAnsi="仿宋_GB2312" w:eastAsia="仿宋_GB2312" w:cs="仿宋_GB2312"/>
                <w:bCs/>
                <w:sz w:val="21"/>
                <w:szCs w:val="21"/>
              </w:rPr>
            </w:pPr>
            <w:r>
              <w:rPr>
                <w:rFonts w:eastAsia="仿宋_GB2312"/>
                <w:bCs/>
                <w:color w:val="000000" w:themeColor="text1"/>
                <w:spacing w:val="20"/>
                <w:sz w:val="21"/>
                <w:szCs w:val="21"/>
                <w14:textFill>
                  <w14:solidFill>
                    <w14:schemeClr w14:val="tx1"/>
                  </w14:solidFill>
                </w14:textFill>
              </w:rPr>
              <w:t>英语修辞与文体写作</w:t>
            </w:r>
          </w:p>
        </w:tc>
        <w:tc>
          <w:tcPr>
            <w:tcW w:w="6023" w:type="dxa"/>
            <w:tcBorders>
              <w:top w:val="single" w:color="auto" w:sz="4" w:space="0"/>
              <w:bottom w:val="single" w:color="auto" w:sz="4" w:space="0"/>
            </w:tcBorders>
            <w:vAlign w:val="center"/>
          </w:tcPr>
          <w:p w14:paraId="07597743">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本课程是非英语专业二年级第五学期必修课程，是微专业教学计划核心部分。本课程聚焦修辞在写作中的应用，讲解英语语体特征、文体规范与修辞技巧，引导学生以修辞手法优化表达，提升写作质量。</w:t>
            </w:r>
          </w:p>
          <w:p w14:paraId="1F61B814">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本课程对非英语专业学生的考研英语和雅思备考具有双向赋能的关键作用。考研层面，平行结构、逻辑衔接等知识助力精准拆解考研阅读文本逻辑，识别作者观点倾向与论证意图，提升解题效率，同时帮学生跳出写作模板，打造高分作文。雅思层面，文体适配性训练可以强化学生的信息抓取能力，修辞技巧提升学生的口语与写作的感染力和说服力。同时。本课程通过培养学生批判性文本分析的能力，助力学生实现考试内容的深度解读与输出。</w:t>
            </w:r>
          </w:p>
        </w:tc>
      </w:tr>
      <w:tr w14:paraId="1D17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exact"/>
          <w:jc w:val="center"/>
        </w:trPr>
        <w:tc>
          <w:tcPr>
            <w:tcW w:w="1128" w:type="dxa"/>
            <w:vAlign w:val="center"/>
          </w:tcPr>
          <w:p w14:paraId="00DFAFF9">
            <w:pPr>
              <w:widowControl/>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5</w:t>
            </w:r>
          </w:p>
        </w:tc>
        <w:tc>
          <w:tcPr>
            <w:tcW w:w="2154" w:type="dxa"/>
            <w:vAlign w:val="center"/>
          </w:tcPr>
          <w:p w14:paraId="444EB702">
            <w:pPr>
              <w:widowControl/>
              <w:jc w:val="center"/>
              <w:rPr>
                <w:rFonts w:ascii="仿宋_GB2312" w:hAnsi="仿宋_GB2312" w:eastAsia="仿宋_GB2312" w:cs="仿宋_GB2312"/>
                <w:bCs/>
                <w:sz w:val="21"/>
                <w:szCs w:val="21"/>
              </w:rPr>
            </w:pPr>
            <w:r>
              <w:rPr>
                <w:rFonts w:eastAsia="仿宋_GB2312"/>
                <w:bCs/>
                <w:color w:val="000000" w:themeColor="text1"/>
                <w:spacing w:val="20"/>
                <w:sz w:val="21"/>
                <w:szCs w:val="21"/>
                <w14:textFill>
                  <w14:solidFill>
                    <w14:schemeClr w14:val="tx1"/>
                  </w14:solidFill>
                </w14:textFill>
              </w:rPr>
              <w:t>笔译理论与实践（英译汉）</w:t>
            </w:r>
          </w:p>
        </w:tc>
        <w:tc>
          <w:tcPr>
            <w:tcW w:w="6023" w:type="dxa"/>
            <w:tcBorders>
              <w:top w:val="single" w:color="auto" w:sz="4" w:space="0"/>
              <w:bottom w:val="single" w:color="auto" w:sz="4" w:space="0"/>
            </w:tcBorders>
            <w:vAlign w:val="center"/>
          </w:tcPr>
          <w:p w14:paraId="30B94B85">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本课程是面向全校本科生开设的实践导向型课程，旨在提升学生对英语书面语的理解能力与英译汉实践能力。课程选取学习与学术场景中常见的英语书面材料作为翻译语料，围绕复杂句式解析、信息整合与重组、规范汉语表达等核心翻译能力展开教学。</w:t>
            </w:r>
          </w:p>
          <w:p w14:paraId="4F9300C9">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教学内容上，课程强调理论与实践结合，重点训练学生对定语从句、名词化结构、被动结构等常见复杂句式的分析与翻译能力，引导学生在准确理解英文原文的基础上进行符合汉语表达习惯的有效转换。</w:t>
            </w:r>
          </w:p>
          <w:p w14:paraId="05B090FE">
            <w:pPr>
              <w:widowControl/>
              <w:ind w:firstLine="420" w:firstLineChars="200"/>
              <w:jc w:val="left"/>
              <w:rPr>
                <w:rFonts w:ascii="仿宋_GB2312" w:hAnsi="仿宋_GB2312" w:eastAsia="仿宋_GB2312" w:cs="仿宋_GB2312"/>
                <w:bCs/>
                <w:sz w:val="21"/>
                <w:szCs w:val="21"/>
              </w:rPr>
            </w:pPr>
            <w:r>
              <w:rPr>
                <w:rFonts w:hint="eastAsia" w:ascii="仿宋_GB2312" w:hAnsi="仿宋_GB2312" w:eastAsia="仿宋_GB2312" w:cs="仿宋_GB2312"/>
                <w:bCs/>
                <w:sz w:val="21"/>
                <w:szCs w:val="21"/>
              </w:rPr>
              <w:t>教学设计上，课程采用“示例分析+翻译实践+译文讲评”结合的方式，注重过程训练与即时反馈，帮助学生形成稳定、可迁移的英汉翻译策略与方法，为后续学术学习及相关英语应用场景奠定基础。</w:t>
            </w:r>
          </w:p>
        </w:tc>
      </w:tr>
    </w:tbl>
    <w:p w14:paraId="0F1F4C57"/>
    <w:sectPr>
      <w:footerReference r:id="rId3" w:type="default"/>
      <w:pgSz w:w="11906" w:h="16838"/>
      <w:pgMar w:top="1134" w:right="1418" w:bottom="1134" w:left="1418" w:header="851"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259651"/>
      <w:docPartObj>
        <w:docPartGallery w:val="AutoText"/>
      </w:docPartObj>
    </w:sdtPr>
    <w:sdtContent>
      <w:p w14:paraId="7490377E">
        <w:pPr>
          <w:pStyle w:val="2"/>
          <w:jc w:val="center"/>
        </w:pPr>
        <w:r>
          <w:fldChar w:fldCharType="begin"/>
        </w:r>
        <w:r>
          <w:instrText xml:space="preserve">PAGE   \* MERGEFORMAT</w:instrText>
        </w:r>
        <w:r>
          <w:fldChar w:fldCharType="separate"/>
        </w:r>
        <w:r>
          <w:rPr>
            <w:lang w:val="zh-CN"/>
          </w:rPr>
          <w:t>4</w:t>
        </w:r>
        <w:r>
          <w:fldChar w:fldCharType="end"/>
        </w:r>
      </w:p>
    </w:sdtContent>
  </w:sdt>
  <w:p w14:paraId="75377C7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mIxMDA0NmUxMTI3OTI0ODcyOTk2MmYwM2I1NGIifQ=="/>
  </w:docVars>
  <w:rsids>
    <w:rsidRoot w:val="0AE32D0C"/>
    <w:rsid w:val="0002069A"/>
    <w:rsid w:val="00067BF7"/>
    <w:rsid w:val="000703B8"/>
    <w:rsid w:val="0007273F"/>
    <w:rsid w:val="0007770F"/>
    <w:rsid w:val="00124CF7"/>
    <w:rsid w:val="00157480"/>
    <w:rsid w:val="001D00D4"/>
    <w:rsid w:val="001D40F7"/>
    <w:rsid w:val="001E18A9"/>
    <w:rsid w:val="00235CD7"/>
    <w:rsid w:val="002406DA"/>
    <w:rsid w:val="00292E07"/>
    <w:rsid w:val="002D1061"/>
    <w:rsid w:val="002F3831"/>
    <w:rsid w:val="00352FDB"/>
    <w:rsid w:val="00372B72"/>
    <w:rsid w:val="00381A54"/>
    <w:rsid w:val="003C16B9"/>
    <w:rsid w:val="004908EE"/>
    <w:rsid w:val="004A4F86"/>
    <w:rsid w:val="004B1BDC"/>
    <w:rsid w:val="004B5A3E"/>
    <w:rsid w:val="00544353"/>
    <w:rsid w:val="005545E7"/>
    <w:rsid w:val="00597148"/>
    <w:rsid w:val="005D0C17"/>
    <w:rsid w:val="005E51EB"/>
    <w:rsid w:val="0063214E"/>
    <w:rsid w:val="00660686"/>
    <w:rsid w:val="006933A2"/>
    <w:rsid w:val="006B7A37"/>
    <w:rsid w:val="006C4894"/>
    <w:rsid w:val="006F7F25"/>
    <w:rsid w:val="00757B4D"/>
    <w:rsid w:val="0078238A"/>
    <w:rsid w:val="007E5B79"/>
    <w:rsid w:val="00802A1A"/>
    <w:rsid w:val="00813F7A"/>
    <w:rsid w:val="00841459"/>
    <w:rsid w:val="008B502A"/>
    <w:rsid w:val="008C1075"/>
    <w:rsid w:val="00946AA9"/>
    <w:rsid w:val="009B1FE8"/>
    <w:rsid w:val="009F5678"/>
    <w:rsid w:val="009F6304"/>
    <w:rsid w:val="00A94D87"/>
    <w:rsid w:val="00B348CD"/>
    <w:rsid w:val="00B70CB3"/>
    <w:rsid w:val="00B70E02"/>
    <w:rsid w:val="00BC45A1"/>
    <w:rsid w:val="00BD7AFA"/>
    <w:rsid w:val="00C42B43"/>
    <w:rsid w:val="00D17F27"/>
    <w:rsid w:val="00D509D1"/>
    <w:rsid w:val="00D529C8"/>
    <w:rsid w:val="00DB7AED"/>
    <w:rsid w:val="00DF7A5F"/>
    <w:rsid w:val="00E148E6"/>
    <w:rsid w:val="00F04264"/>
    <w:rsid w:val="00F16F11"/>
    <w:rsid w:val="00F509B9"/>
    <w:rsid w:val="02641DFB"/>
    <w:rsid w:val="06300FCF"/>
    <w:rsid w:val="09954E0D"/>
    <w:rsid w:val="0AE32D0C"/>
    <w:rsid w:val="0AF85A36"/>
    <w:rsid w:val="0FB93D29"/>
    <w:rsid w:val="10A75028"/>
    <w:rsid w:val="1165300E"/>
    <w:rsid w:val="175A6EDF"/>
    <w:rsid w:val="1EEF22CE"/>
    <w:rsid w:val="21BF3E1B"/>
    <w:rsid w:val="2342170A"/>
    <w:rsid w:val="23D031BA"/>
    <w:rsid w:val="27054585"/>
    <w:rsid w:val="2D572256"/>
    <w:rsid w:val="35B30245"/>
    <w:rsid w:val="3D7106DB"/>
    <w:rsid w:val="45076B6E"/>
    <w:rsid w:val="45B42AAD"/>
    <w:rsid w:val="45EC7588"/>
    <w:rsid w:val="46E13E64"/>
    <w:rsid w:val="47170634"/>
    <w:rsid w:val="49530C2E"/>
    <w:rsid w:val="496038EF"/>
    <w:rsid w:val="499B72F7"/>
    <w:rsid w:val="53966503"/>
    <w:rsid w:val="591744C4"/>
    <w:rsid w:val="5C2667BC"/>
    <w:rsid w:val="60E0197E"/>
    <w:rsid w:val="6221580D"/>
    <w:rsid w:val="64844FF7"/>
    <w:rsid w:val="649F2FD7"/>
    <w:rsid w:val="687B4BF8"/>
    <w:rsid w:val="6ABC6060"/>
    <w:rsid w:val="6EDB52A7"/>
    <w:rsid w:val="76BE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Char"/>
    <w:basedOn w:val="5"/>
    <w:link w:val="3"/>
    <w:uiPriority w:val="0"/>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2809</Words>
  <Characters>2853</Characters>
  <Lines>21</Lines>
  <Paragraphs>6</Paragraphs>
  <TotalTime>7</TotalTime>
  <ScaleCrop>false</ScaleCrop>
  <LinksUpToDate>false</LinksUpToDate>
  <CharactersWithSpaces>2868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2023-05-06T03:14:00Z</dcterms:created>
  <dc:creator>Shine_ZHOU</dc:creator>
  <cp:lastModifiedBy>鸟儿</cp:lastModifiedBy>
  <dcterms:modified xsi:type="dcterms:W3CDTF">2026-03-02T05:00:14Z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89BE444AC31A41DE92AD2CE08303C9EE</vt:lpwstr>
  </property>
  <property fmtid="{D5CDD505-2E9C-101B-9397-08002B2CF9AE}" pid="4" name="KSOTemplateDocerSaveRecord">
    <vt:lpwstr>eyJoZGlkIjoiMzNmNjJmMjJkMmNjZmMyMDUzNmRlNGRiNGJjNWYyMTYiLCJ1c2VySWQiOiI0NTEwODU2MjYifQ==</vt:lpwstr>
  </property>
</Properties>
</file>