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A458" w14:textId="77777777" w:rsidR="001F431A" w:rsidRDefault="00000000">
      <w:pPr>
        <w:spacing w:beforeLines="50" w:before="156" w:afterLines="50" w:after="156" w:line="480" w:lineRule="exact"/>
        <w:ind w:left="558" w:hangingChars="155" w:hanging="558"/>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bCs/>
          <w:sz w:val="36"/>
          <w:szCs w:val="36"/>
        </w:rPr>
        <w:t>外国语学院俄罗斯语言文化</w:t>
      </w:r>
      <w:proofErr w:type="gramStart"/>
      <w:r>
        <w:rPr>
          <w:rFonts w:ascii="方正小标宋简体" w:eastAsia="方正小标宋简体" w:hAnsi="方正小标宋简体" w:cs="方正小标宋简体" w:hint="eastAsia"/>
          <w:bCs/>
          <w:sz w:val="36"/>
          <w:szCs w:val="36"/>
        </w:rPr>
        <w:t>微专业</w:t>
      </w:r>
      <w:proofErr w:type="gramEnd"/>
      <w:r>
        <w:rPr>
          <w:rFonts w:ascii="方正小标宋简体" w:eastAsia="方正小标宋简体" w:hAnsi="方正小标宋简体" w:cs="方正小标宋简体" w:hint="eastAsia"/>
          <w:bCs/>
          <w:sz w:val="36"/>
          <w:szCs w:val="36"/>
        </w:rPr>
        <w:t>人才培养方案</w:t>
      </w:r>
    </w:p>
    <w:p w14:paraId="76D41B57" w14:textId="77777777" w:rsidR="001F431A" w:rsidRDefault="001F431A">
      <w:pPr>
        <w:widowControl/>
        <w:spacing w:after="156" w:line="0" w:lineRule="atLeast"/>
        <w:ind w:firstLineChars="200" w:firstLine="560"/>
        <w:jc w:val="left"/>
        <w:rPr>
          <w:rFonts w:ascii="黑体" w:eastAsia="黑体" w:hAnsi="黑体" w:cs="黑体" w:hint="eastAsia"/>
          <w:bCs/>
          <w:sz w:val="28"/>
          <w:szCs w:val="28"/>
        </w:rPr>
      </w:pPr>
    </w:p>
    <w:p w14:paraId="0F0F5949" w14:textId="77777777" w:rsidR="001F431A" w:rsidRDefault="00000000">
      <w:pPr>
        <w:widowControl/>
        <w:spacing w:after="156" w:line="0" w:lineRule="atLeast"/>
        <w:ind w:firstLineChars="200" w:firstLine="560"/>
        <w:jc w:val="left"/>
        <w:rPr>
          <w:rFonts w:ascii="黑体" w:eastAsia="黑体" w:hAnsi="黑体" w:cs="黑体" w:hint="eastAsia"/>
          <w:bCs/>
          <w:sz w:val="28"/>
          <w:szCs w:val="28"/>
        </w:rPr>
      </w:pPr>
      <w:r>
        <w:rPr>
          <w:rFonts w:ascii="黑体" w:eastAsia="黑体" w:hAnsi="黑体" w:cs="黑体" w:hint="eastAsia"/>
          <w:bCs/>
          <w:sz w:val="28"/>
          <w:szCs w:val="28"/>
        </w:rPr>
        <w:t>一、培养目标</w:t>
      </w:r>
    </w:p>
    <w:p w14:paraId="660DF773" w14:textId="77777777" w:rsidR="001F431A" w:rsidRDefault="00000000">
      <w:pPr>
        <w:widowControl/>
        <w:ind w:firstLineChars="200" w:firstLine="560"/>
        <w:rPr>
          <w:rFonts w:ascii="仿宋_GB2312" w:eastAsia="仿宋_GB2312"/>
          <w:sz w:val="28"/>
          <w:szCs w:val="28"/>
        </w:rPr>
      </w:pPr>
      <w:r>
        <w:rPr>
          <w:rFonts w:ascii="仿宋_GB2312" w:eastAsia="仿宋_GB2312" w:hint="eastAsia"/>
          <w:sz w:val="28"/>
          <w:szCs w:val="28"/>
        </w:rPr>
        <w:t>目标1：语言部分</w:t>
      </w:r>
    </w:p>
    <w:p w14:paraId="5AF32EDE" w14:textId="77777777" w:rsidR="001F431A" w:rsidRDefault="00000000">
      <w:pPr>
        <w:widowControl/>
        <w:ind w:firstLineChars="200" w:firstLine="560"/>
        <w:rPr>
          <w:rFonts w:ascii="仿宋_GB2312" w:eastAsia="仿宋_GB2312"/>
          <w:sz w:val="28"/>
          <w:szCs w:val="28"/>
        </w:rPr>
      </w:pPr>
      <w:r>
        <w:rPr>
          <w:rFonts w:ascii="仿宋_GB2312" w:eastAsia="仿宋_GB2312" w:hint="eastAsia"/>
          <w:sz w:val="28"/>
          <w:szCs w:val="28"/>
        </w:rPr>
        <w:t>学习基本字母发音及调型，学习基本句型和言语礼节，满足在日常生活中同俄罗斯人进行简单交流的目的。</w:t>
      </w:r>
    </w:p>
    <w:p w14:paraId="37E14F85" w14:textId="77777777" w:rsidR="001F431A" w:rsidRDefault="00000000">
      <w:pPr>
        <w:widowControl/>
        <w:ind w:firstLineChars="200" w:firstLine="560"/>
        <w:rPr>
          <w:rFonts w:ascii="仿宋_GB2312" w:eastAsia="仿宋_GB2312"/>
          <w:sz w:val="28"/>
          <w:szCs w:val="28"/>
        </w:rPr>
      </w:pPr>
      <w:r>
        <w:rPr>
          <w:rFonts w:ascii="仿宋_GB2312" w:eastAsia="仿宋_GB2312" w:hint="eastAsia"/>
          <w:sz w:val="28"/>
          <w:szCs w:val="28"/>
        </w:rPr>
        <w:t>目标2：文化习得</w:t>
      </w:r>
    </w:p>
    <w:p w14:paraId="1B0609D2" w14:textId="77777777" w:rsidR="001F431A" w:rsidRDefault="00000000">
      <w:pPr>
        <w:widowControl/>
        <w:ind w:firstLineChars="200" w:firstLine="560"/>
        <w:rPr>
          <w:rFonts w:ascii="仿宋_GB2312" w:eastAsia="仿宋_GB2312"/>
          <w:sz w:val="28"/>
          <w:szCs w:val="28"/>
        </w:rPr>
      </w:pPr>
      <w:r>
        <w:rPr>
          <w:rFonts w:ascii="仿宋_GB2312" w:eastAsia="仿宋_GB2312" w:hint="eastAsia"/>
          <w:sz w:val="28"/>
          <w:szCs w:val="28"/>
        </w:rPr>
        <w:t>了解俄罗斯历史、文学和艺术领域基本常识，理解其文化内涵、思维方式与社交习俗。</w:t>
      </w:r>
    </w:p>
    <w:p w14:paraId="5551308B" w14:textId="77777777" w:rsidR="001F431A" w:rsidRDefault="00000000">
      <w:pPr>
        <w:widowControl/>
        <w:ind w:firstLineChars="200" w:firstLine="560"/>
        <w:rPr>
          <w:rFonts w:ascii="仿宋_GB2312" w:eastAsia="仿宋_GB2312"/>
          <w:sz w:val="28"/>
          <w:szCs w:val="28"/>
        </w:rPr>
      </w:pPr>
      <w:r>
        <w:rPr>
          <w:rFonts w:ascii="仿宋_GB2312" w:eastAsia="仿宋_GB2312" w:hint="eastAsia"/>
          <w:sz w:val="28"/>
          <w:szCs w:val="28"/>
        </w:rPr>
        <w:t>目标3：跨文化交流</w:t>
      </w:r>
    </w:p>
    <w:p w14:paraId="59EBC3B1" w14:textId="77777777" w:rsidR="001F431A" w:rsidRDefault="00000000">
      <w:pPr>
        <w:widowControl/>
        <w:ind w:firstLineChars="200" w:firstLine="560"/>
        <w:rPr>
          <w:rFonts w:ascii="仿宋_GB2312" w:eastAsia="仿宋_GB2312"/>
          <w:sz w:val="28"/>
          <w:szCs w:val="28"/>
        </w:rPr>
      </w:pPr>
      <w:r>
        <w:rPr>
          <w:rFonts w:ascii="仿宋_GB2312" w:eastAsia="仿宋_GB2312" w:hint="eastAsia"/>
          <w:sz w:val="28"/>
          <w:szCs w:val="28"/>
        </w:rPr>
        <w:t>培养学生的跨文化交际能力，让他们能够识别并尊重不同文化背景下的价值观和行为方式。</w:t>
      </w:r>
    </w:p>
    <w:p w14:paraId="420CD8F1" w14:textId="77777777" w:rsidR="001F431A" w:rsidRDefault="00000000">
      <w:pPr>
        <w:widowControl/>
        <w:ind w:firstLineChars="200" w:firstLine="560"/>
        <w:rPr>
          <w:rFonts w:ascii="仿宋_GB2312" w:eastAsia="仿宋_GB2312"/>
          <w:sz w:val="28"/>
          <w:szCs w:val="28"/>
        </w:rPr>
      </w:pPr>
      <w:r>
        <w:rPr>
          <w:rFonts w:ascii="仿宋_GB2312" w:eastAsia="仿宋_GB2312" w:hint="eastAsia"/>
          <w:sz w:val="28"/>
          <w:szCs w:val="28"/>
        </w:rPr>
        <w:t>目标4：思想政治素养</w:t>
      </w:r>
    </w:p>
    <w:p w14:paraId="02DE2469" w14:textId="77777777" w:rsidR="001F431A" w:rsidRDefault="00000000">
      <w:pPr>
        <w:widowControl/>
        <w:ind w:firstLineChars="200" w:firstLine="560"/>
        <w:rPr>
          <w:rFonts w:ascii="仿宋_GB2312" w:eastAsia="仿宋_GB2312"/>
          <w:sz w:val="28"/>
          <w:szCs w:val="28"/>
        </w:rPr>
      </w:pPr>
      <w:r>
        <w:rPr>
          <w:rFonts w:ascii="仿宋_GB2312" w:eastAsia="仿宋_GB2312" w:hint="eastAsia"/>
          <w:sz w:val="28"/>
          <w:szCs w:val="28"/>
        </w:rPr>
        <w:t>在课程中融入对俄罗斯及其周边国家的政治、经济、社会现状的分析，提高学生对国际局势的敏感性和判断能力，使其能够理性分析和评价不同国家的政治制度和文化现象。</w:t>
      </w:r>
    </w:p>
    <w:p w14:paraId="51CEEC10" w14:textId="77777777" w:rsidR="001F431A" w:rsidRDefault="001F431A">
      <w:pPr>
        <w:widowControl/>
        <w:spacing w:after="156" w:line="0" w:lineRule="atLeast"/>
        <w:ind w:firstLineChars="200" w:firstLine="560"/>
        <w:jc w:val="left"/>
        <w:rPr>
          <w:rFonts w:ascii="宋体" w:hAnsi="宋体" w:hint="eastAsia"/>
          <w:bCs/>
          <w:sz w:val="28"/>
          <w:szCs w:val="28"/>
        </w:rPr>
      </w:pPr>
    </w:p>
    <w:p w14:paraId="29E027DB" w14:textId="77777777" w:rsidR="001F431A" w:rsidRDefault="001F431A">
      <w:pPr>
        <w:widowControl/>
        <w:spacing w:after="156" w:line="0" w:lineRule="atLeast"/>
        <w:ind w:firstLineChars="200" w:firstLine="560"/>
        <w:jc w:val="left"/>
        <w:rPr>
          <w:rFonts w:ascii="宋体" w:hAnsi="宋体" w:hint="eastAsia"/>
          <w:bCs/>
          <w:sz w:val="28"/>
          <w:szCs w:val="28"/>
        </w:rPr>
      </w:pPr>
    </w:p>
    <w:p w14:paraId="07C8CDDE" w14:textId="77777777" w:rsidR="001F431A" w:rsidRDefault="00000000">
      <w:pPr>
        <w:widowControl/>
        <w:spacing w:after="156" w:line="0" w:lineRule="atLeast"/>
        <w:ind w:firstLineChars="200" w:firstLine="560"/>
        <w:jc w:val="left"/>
        <w:rPr>
          <w:rFonts w:ascii="黑体" w:eastAsia="黑体" w:hAnsi="黑体" w:cs="黑体" w:hint="eastAsia"/>
          <w:bCs/>
          <w:sz w:val="28"/>
          <w:szCs w:val="28"/>
        </w:rPr>
      </w:pPr>
      <w:r>
        <w:rPr>
          <w:rFonts w:ascii="黑体" w:eastAsia="黑体" w:hAnsi="黑体" w:cs="黑体" w:hint="eastAsia"/>
          <w:bCs/>
          <w:sz w:val="28"/>
          <w:szCs w:val="28"/>
        </w:rPr>
        <w:t>二、毕业要求</w:t>
      </w:r>
    </w:p>
    <w:p w14:paraId="4BCFE996" w14:textId="77777777" w:rsidR="001F431A" w:rsidRDefault="00000000">
      <w:pPr>
        <w:widowControl/>
        <w:ind w:firstLineChars="200" w:firstLine="560"/>
        <w:rPr>
          <w:rFonts w:ascii="仿宋_GB2312" w:eastAsia="仿宋_GB2312"/>
          <w:sz w:val="28"/>
          <w:szCs w:val="28"/>
        </w:rPr>
      </w:pPr>
      <w:r>
        <w:rPr>
          <w:rFonts w:ascii="仿宋_GB2312" w:eastAsia="仿宋_GB2312" w:hint="eastAsia"/>
          <w:sz w:val="28"/>
          <w:szCs w:val="28"/>
        </w:rPr>
        <w:t>以“语言能力达标+学分修满”为核心，结合实用技能与文化素养培养，具体毕业要求如下：</w:t>
      </w:r>
    </w:p>
    <w:p w14:paraId="19A1399E" w14:textId="77777777" w:rsidR="001F431A" w:rsidRDefault="00000000">
      <w:pPr>
        <w:widowControl/>
        <w:ind w:firstLineChars="200" w:firstLine="560"/>
        <w:rPr>
          <w:rFonts w:ascii="仿宋_GB2312" w:eastAsia="仿宋_GB2312"/>
          <w:b/>
          <w:bCs/>
          <w:sz w:val="28"/>
          <w:szCs w:val="28"/>
        </w:rPr>
      </w:pPr>
      <w:r>
        <w:rPr>
          <w:rFonts w:ascii="仿宋_GB2312" w:eastAsia="仿宋_GB2312" w:hint="eastAsia"/>
          <w:b/>
          <w:bCs/>
          <w:sz w:val="28"/>
          <w:szCs w:val="28"/>
        </w:rPr>
        <w:t>一、学分修满要求（共10学分）</w:t>
      </w:r>
    </w:p>
    <w:p w14:paraId="4010A3C6" w14:textId="77777777" w:rsidR="001F431A" w:rsidRDefault="00000000">
      <w:pPr>
        <w:widowControl/>
        <w:ind w:firstLineChars="200" w:firstLine="560"/>
        <w:rPr>
          <w:rFonts w:ascii="仿宋_GB2312" w:eastAsia="仿宋_GB2312"/>
          <w:sz w:val="28"/>
          <w:szCs w:val="28"/>
        </w:rPr>
      </w:pPr>
      <w:r>
        <w:rPr>
          <w:rFonts w:ascii="仿宋_GB2312" w:eastAsia="仿宋_GB2312" w:hint="eastAsia"/>
          <w:sz w:val="28"/>
          <w:szCs w:val="28"/>
        </w:rPr>
        <w:t>学生需修满所有课程学分。</w:t>
      </w:r>
    </w:p>
    <w:p w14:paraId="1F59DFD2" w14:textId="77777777" w:rsidR="001F431A" w:rsidRDefault="00000000">
      <w:pPr>
        <w:widowControl/>
        <w:numPr>
          <w:ilvl w:val="0"/>
          <w:numId w:val="1"/>
        </w:numPr>
        <w:ind w:firstLineChars="200" w:firstLine="560"/>
        <w:rPr>
          <w:rFonts w:ascii="仿宋_GB2312" w:eastAsia="仿宋_GB2312"/>
          <w:b/>
          <w:bCs/>
          <w:sz w:val="28"/>
          <w:szCs w:val="28"/>
        </w:rPr>
      </w:pPr>
      <w:r>
        <w:rPr>
          <w:rFonts w:ascii="仿宋_GB2312" w:eastAsia="仿宋_GB2312" w:hint="eastAsia"/>
          <w:b/>
          <w:bCs/>
          <w:sz w:val="28"/>
          <w:szCs w:val="28"/>
        </w:rPr>
        <w:t>能力达标要求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77"/>
      </w:tblGrid>
      <w:tr w:rsidR="001F431A" w14:paraId="0882961C" w14:textId="77777777">
        <w:tc>
          <w:tcPr>
            <w:tcW w:w="1809" w:type="dxa"/>
          </w:tcPr>
          <w:p w14:paraId="68981880" w14:textId="77777777" w:rsidR="001F431A" w:rsidRDefault="00000000">
            <w:pPr>
              <w:widowControl/>
              <w:jc w:val="center"/>
              <w:rPr>
                <w:rFonts w:ascii="仿宋_GB2312" w:eastAsia="仿宋_GB2312"/>
                <w:sz w:val="21"/>
                <w:szCs w:val="21"/>
              </w:rPr>
            </w:pPr>
            <w:r>
              <w:rPr>
                <w:rFonts w:ascii="仿宋_GB2312" w:eastAsia="仿宋_GB2312" w:hint="eastAsia"/>
                <w:b/>
                <w:bCs/>
                <w:sz w:val="21"/>
                <w:szCs w:val="21"/>
              </w:rPr>
              <w:lastRenderedPageBreak/>
              <w:t>能力要求</w:t>
            </w:r>
          </w:p>
        </w:tc>
        <w:tc>
          <w:tcPr>
            <w:tcW w:w="7477" w:type="dxa"/>
          </w:tcPr>
          <w:p w14:paraId="2DF0C356" w14:textId="77777777" w:rsidR="001F431A" w:rsidRDefault="00000000">
            <w:pPr>
              <w:widowControl/>
              <w:jc w:val="center"/>
              <w:rPr>
                <w:rFonts w:ascii="仿宋_GB2312" w:eastAsia="仿宋_GB2312"/>
                <w:sz w:val="21"/>
                <w:szCs w:val="21"/>
              </w:rPr>
            </w:pPr>
            <w:r>
              <w:rPr>
                <w:rFonts w:ascii="仿宋_GB2312" w:eastAsia="仿宋_GB2312" w:hint="eastAsia"/>
                <w:b/>
                <w:bCs/>
                <w:sz w:val="21"/>
                <w:szCs w:val="21"/>
              </w:rPr>
              <w:t>能力要求分解指标点</w:t>
            </w:r>
          </w:p>
        </w:tc>
      </w:tr>
      <w:tr w:rsidR="001F431A" w14:paraId="66C5FD7C" w14:textId="77777777">
        <w:trPr>
          <w:trHeight w:val="615"/>
        </w:trPr>
        <w:tc>
          <w:tcPr>
            <w:tcW w:w="1809" w:type="dxa"/>
            <w:vMerge w:val="restart"/>
          </w:tcPr>
          <w:p w14:paraId="14C557D0" w14:textId="77777777" w:rsidR="001F431A" w:rsidRDefault="00000000">
            <w:pPr>
              <w:widowControl/>
              <w:rPr>
                <w:rFonts w:ascii="仿宋_GB2312" w:eastAsia="仿宋_GB2312"/>
                <w:sz w:val="21"/>
                <w:szCs w:val="21"/>
              </w:rPr>
            </w:pPr>
            <w:r>
              <w:rPr>
                <w:rFonts w:ascii="仿宋_GB2312" w:eastAsia="仿宋_GB2312" w:hint="eastAsia"/>
                <w:sz w:val="21"/>
                <w:szCs w:val="21"/>
              </w:rPr>
              <w:t>1.语言应用能力</w:t>
            </w:r>
          </w:p>
        </w:tc>
        <w:tc>
          <w:tcPr>
            <w:tcW w:w="7477" w:type="dxa"/>
          </w:tcPr>
          <w:p w14:paraId="71C67D68" w14:textId="77777777" w:rsidR="001F431A" w:rsidRDefault="00000000">
            <w:pPr>
              <w:widowControl/>
              <w:rPr>
                <w:rFonts w:ascii="仿宋_GB2312" w:eastAsia="仿宋_GB2312"/>
                <w:sz w:val="21"/>
                <w:szCs w:val="21"/>
              </w:rPr>
            </w:pPr>
            <w:r>
              <w:rPr>
                <w:rFonts w:ascii="仿宋_GB2312" w:eastAsia="仿宋_GB2312" w:hint="eastAsia"/>
                <w:sz w:val="21"/>
                <w:szCs w:val="21"/>
              </w:rPr>
              <w:t>1.1掌握俄语33个字母的标准发音及基本调型，语音语调准确自然，拼读规范流畅；</w:t>
            </w:r>
          </w:p>
        </w:tc>
      </w:tr>
      <w:tr w:rsidR="001F431A" w14:paraId="2D443C5C" w14:textId="77777777">
        <w:trPr>
          <w:trHeight w:val="406"/>
        </w:trPr>
        <w:tc>
          <w:tcPr>
            <w:tcW w:w="1809" w:type="dxa"/>
            <w:vMerge/>
          </w:tcPr>
          <w:p w14:paraId="549A5DE1" w14:textId="77777777" w:rsidR="001F431A" w:rsidRDefault="001F431A">
            <w:pPr>
              <w:widowControl/>
              <w:numPr>
                <w:ilvl w:val="0"/>
                <w:numId w:val="1"/>
              </w:numPr>
              <w:ind w:firstLineChars="200" w:firstLine="420"/>
              <w:rPr>
                <w:rFonts w:ascii="仿宋_GB2312" w:eastAsia="仿宋_GB2312"/>
                <w:sz w:val="21"/>
                <w:szCs w:val="21"/>
              </w:rPr>
            </w:pPr>
          </w:p>
        </w:tc>
        <w:tc>
          <w:tcPr>
            <w:tcW w:w="7477" w:type="dxa"/>
          </w:tcPr>
          <w:p w14:paraId="411066CA" w14:textId="77777777" w:rsidR="001F431A" w:rsidRDefault="00000000">
            <w:pPr>
              <w:widowControl/>
              <w:rPr>
                <w:rFonts w:ascii="仿宋_GB2312" w:eastAsia="仿宋_GB2312"/>
                <w:sz w:val="21"/>
                <w:szCs w:val="21"/>
              </w:rPr>
            </w:pPr>
            <w:r>
              <w:rPr>
                <w:rFonts w:ascii="仿宋_GB2312" w:eastAsia="仿宋_GB2312" w:hint="eastAsia"/>
                <w:sz w:val="21"/>
                <w:szCs w:val="21"/>
              </w:rPr>
              <w:t>1.2熟练运用词汇及基础语法结构，完成日常话题的口头与书面表达；</w:t>
            </w:r>
          </w:p>
        </w:tc>
      </w:tr>
      <w:tr w:rsidR="001F431A" w14:paraId="55969E49" w14:textId="77777777">
        <w:trPr>
          <w:trHeight w:val="375"/>
        </w:trPr>
        <w:tc>
          <w:tcPr>
            <w:tcW w:w="1809" w:type="dxa"/>
            <w:vMerge/>
          </w:tcPr>
          <w:p w14:paraId="1328B7C3" w14:textId="77777777" w:rsidR="001F431A" w:rsidRDefault="001F431A">
            <w:pPr>
              <w:widowControl/>
              <w:numPr>
                <w:ilvl w:val="0"/>
                <w:numId w:val="1"/>
              </w:numPr>
              <w:ind w:firstLineChars="200" w:firstLine="420"/>
              <w:rPr>
                <w:rFonts w:ascii="仿宋_GB2312" w:eastAsia="仿宋_GB2312"/>
                <w:sz w:val="21"/>
                <w:szCs w:val="21"/>
              </w:rPr>
            </w:pPr>
          </w:p>
        </w:tc>
        <w:tc>
          <w:tcPr>
            <w:tcW w:w="7477" w:type="dxa"/>
          </w:tcPr>
          <w:p w14:paraId="1C1E685E" w14:textId="77777777" w:rsidR="001F431A" w:rsidRDefault="00000000">
            <w:pPr>
              <w:widowControl/>
              <w:rPr>
                <w:rFonts w:ascii="仿宋_GB2312" w:eastAsia="仿宋_GB2312"/>
                <w:sz w:val="21"/>
                <w:szCs w:val="21"/>
              </w:rPr>
            </w:pPr>
            <w:r>
              <w:rPr>
                <w:rFonts w:ascii="仿宋_GB2312" w:eastAsia="仿宋_GB2312" w:hint="eastAsia"/>
                <w:sz w:val="21"/>
                <w:szCs w:val="21"/>
              </w:rPr>
              <w:t>1.3能够在真实生活场景中，运用恰当交际策略进行有效沟通。</w:t>
            </w:r>
          </w:p>
        </w:tc>
      </w:tr>
      <w:tr w:rsidR="001F431A" w14:paraId="1BE4998B" w14:textId="77777777">
        <w:tc>
          <w:tcPr>
            <w:tcW w:w="1809" w:type="dxa"/>
            <w:vMerge w:val="restart"/>
          </w:tcPr>
          <w:p w14:paraId="125AEC8D" w14:textId="77777777" w:rsidR="001F431A" w:rsidRDefault="00000000">
            <w:pPr>
              <w:widowControl/>
              <w:rPr>
                <w:rFonts w:ascii="仿宋_GB2312" w:eastAsia="仿宋_GB2312"/>
                <w:sz w:val="21"/>
                <w:szCs w:val="21"/>
              </w:rPr>
            </w:pPr>
            <w:r>
              <w:rPr>
                <w:rFonts w:ascii="仿宋_GB2312" w:eastAsia="仿宋_GB2312" w:hint="eastAsia"/>
                <w:sz w:val="21"/>
                <w:szCs w:val="21"/>
              </w:rPr>
              <w:t>2.文化理解素养</w:t>
            </w:r>
          </w:p>
        </w:tc>
        <w:tc>
          <w:tcPr>
            <w:tcW w:w="7477" w:type="dxa"/>
          </w:tcPr>
          <w:p w14:paraId="4531A06F" w14:textId="77777777" w:rsidR="001F431A" w:rsidRDefault="00000000">
            <w:pPr>
              <w:widowControl/>
              <w:rPr>
                <w:rFonts w:ascii="仿宋_GB2312" w:eastAsia="仿宋_GB2312"/>
                <w:sz w:val="21"/>
                <w:szCs w:val="21"/>
              </w:rPr>
            </w:pPr>
            <w:r>
              <w:rPr>
                <w:rFonts w:ascii="仿宋_GB2312" w:eastAsia="仿宋_GB2312" w:hint="eastAsia"/>
                <w:sz w:val="21"/>
                <w:szCs w:val="21"/>
              </w:rPr>
              <w:t>2.1掌握俄罗斯历史、文学、艺术等领域的基础知识体系，构建文化认知框架；</w:t>
            </w:r>
          </w:p>
        </w:tc>
      </w:tr>
      <w:tr w:rsidR="001F431A" w14:paraId="36D42153" w14:textId="77777777">
        <w:trPr>
          <w:trHeight w:val="336"/>
        </w:trPr>
        <w:tc>
          <w:tcPr>
            <w:tcW w:w="1809" w:type="dxa"/>
            <w:vMerge/>
          </w:tcPr>
          <w:p w14:paraId="2BE32D75" w14:textId="77777777" w:rsidR="001F431A" w:rsidRDefault="001F431A">
            <w:pPr>
              <w:widowControl/>
              <w:numPr>
                <w:ilvl w:val="0"/>
                <w:numId w:val="1"/>
              </w:numPr>
              <w:ind w:firstLineChars="200" w:firstLine="420"/>
              <w:rPr>
                <w:rFonts w:ascii="仿宋_GB2312" w:eastAsia="仿宋_GB2312"/>
                <w:sz w:val="21"/>
                <w:szCs w:val="21"/>
              </w:rPr>
            </w:pPr>
          </w:p>
        </w:tc>
        <w:tc>
          <w:tcPr>
            <w:tcW w:w="7477" w:type="dxa"/>
          </w:tcPr>
          <w:p w14:paraId="4553B1AD" w14:textId="77777777" w:rsidR="001F431A" w:rsidRDefault="00000000">
            <w:pPr>
              <w:widowControl/>
              <w:rPr>
                <w:rFonts w:ascii="仿宋_GB2312" w:eastAsia="仿宋_GB2312"/>
                <w:sz w:val="21"/>
                <w:szCs w:val="21"/>
              </w:rPr>
            </w:pPr>
            <w:r>
              <w:rPr>
                <w:rFonts w:ascii="仿宋_GB2312" w:eastAsia="仿宋_GB2312" w:hint="eastAsia"/>
                <w:sz w:val="21"/>
                <w:szCs w:val="21"/>
              </w:rPr>
              <w:t>2.2理解俄罗斯民族的核心价值观、思维方式及社交礼仪规范；</w:t>
            </w:r>
          </w:p>
        </w:tc>
      </w:tr>
      <w:tr w:rsidR="001F431A" w14:paraId="6A0422F1" w14:textId="77777777">
        <w:trPr>
          <w:trHeight w:val="370"/>
        </w:trPr>
        <w:tc>
          <w:tcPr>
            <w:tcW w:w="1809" w:type="dxa"/>
            <w:vMerge/>
          </w:tcPr>
          <w:p w14:paraId="030F4113" w14:textId="77777777" w:rsidR="001F431A" w:rsidRDefault="001F431A">
            <w:pPr>
              <w:widowControl/>
              <w:numPr>
                <w:ilvl w:val="0"/>
                <w:numId w:val="1"/>
              </w:numPr>
              <w:ind w:firstLineChars="200" w:firstLine="420"/>
              <w:rPr>
                <w:rFonts w:ascii="仿宋_GB2312" w:eastAsia="仿宋_GB2312"/>
                <w:sz w:val="21"/>
                <w:szCs w:val="21"/>
              </w:rPr>
            </w:pPr>
          </w:p>
        </w:tc>
        <w:tc>
          <w:tcPr>
            <w:tcW w:w="7477" w:type="dxa"/>
          </w:tcPr>
          <w:p w14:paraId="7B403A29" w14:textId="77777777" w:rsidR="001F431A" w:rsidRDefault="00000000">
            <w:pPr>
              <w:widowControl/>
              <w:rPr>
                <w:rFonts w:ascii="仿宋_GB2312" w:eastAsia="仿宋_GB2312"/>
                <w:sz w:val="21"/>
                <w:szCs w:val="21"/>
              </w:rPr>
            </w:pPr>
            <w:r>
              <w:rPr>
                <w:rFonts w:ascii="仿宋_GB2312" w:eastAsia="仿宋_GB2312" w:hint="eastAsia"/>
                <w:sz w:val="21"/>
                <w:szCs w:val="21"/>
              </w:rPr>
              <w:t>2.3具备文化现象分析能力，能阐释文化内涵并进行中俄文化对比阐释；</w:t>
            </w:r>
          </w:p>
        </w:tc>
      </w:tr>
      <w:tr w:rsidR="001F431A" w14:paraId="257B1DED" w14:textId="77777777">
        <w:trPr>
          <w:trHeight w:val="693"/>
        </w:trPr>
        <w:tc>
          <w:tcPr>
            <w:tcW w:w="1809" w:type="dxa"/>
            <w:vMerge w:val="restart"/>
          </w:tcPr>
          <w:p w14:paraId="0DDA9ED0" w14:textId="77777777" w:rsidR="001F431A" w:rsidRDefault="00000000">
            <w:pPr>
              <w:widowControl/>
              <w:rPr>
                <w:rFonts w:ascii="仿宋_GB2312" w:eastAsia="仿宋_GB2312"/>
                <w:sz w:val="21"/>
                <w:szCs w:val="21"/>
              </w:rPr>
            </w:pPr>
            <w:r>
              <w:rPr>
                <w:rFonts w:ascii="仿宋_GB2312" w:eastAsia="仿宋_GB2312" w:hint="eastAsia"/>
                <w:sz w:val="21"/>
                <w:szCs w:val="21"/>
              </w:rPr>
              <w:t>3.跨文化交际能力</w:t>
            </w:r>
          </w:p>
        </w:tc>
        <w:tc>
          <w:tcPr>
            <w:tcW w:w="7477" w:type="dxa"/>
          </w:tcPr>
          <w:p w14:paraId="258CCC02" w14:textId="77777777" w:rsidR="001F431A" w:rsidRDefault="00000000">
            <w:pPr>
              <w:widowControl/>
              <w:rPr>
                <w:rFonts w:ascii="仿宋_GB2312" w:eastAsia="仿宋_GB2312"/>
                <w:sz w:val="21"/>
                <w:szCs w:val="21"/>
              </w:rPr>
            </w:pPr>
            <w:r>
              <w:rPr>
                <w:rFonts w:ascii="仿宋_GB2312" w:eastAsia="仿宋_GB2312" w:hint="eastAsia"/>
                <w:sz w:val="21"/>
                <w:szCs w:val="21"/>
              </w:rPr>
              <w:t>3.1熟识俄罗斯及使用俄语的其他国家历史、地理、政治、经济、社会、文化等领域知识；</w:t>
            </w:r>
          </w:p>
        </w:tc>
      </w:tr>
      <w:tr w:rsidR="001F431A" w14:paraId="3A549D48" w14:textId="77777777">
        <w:trPr>
          <w:trHeight w:val="368"/>
        </w:trPr>
        <w:tc>
          <w:tcPr>
            <w:tcW w:w="1809" w:type="dxa"/>
            <w:vMerge/>
          </w:tcPr>
          <w:p w14:paraId="7F37E596" w14:textId="77777777" w:rsidR="001F431A" w:rsidRDefault="001F431A">
            <w:pPr>
              <w:widowControl/>
              <w:numPr>
                <w:ilvl w:val="0"/>
                <w:numId w:val="1"/>
              </w:numPr>
              <w:ind w:firstLineChars="200" w:firstLine="420"/>
              <w:rPr>
                <w:rFonts w:ascii="仿宋_GB2312" w:eastAsia="仿宋_GB2312"/>
                <w:sz w:val="21"/>
                <w:szCs w:val="21"/>
              </w:rPr>
            </w:pPr>
          </w:p>
        </w:tc>
        <w:tc>
          <w:tcPr>
            <w:tcW w:w="7477" w:type="dxa"/>
          </w:tcPr>
          <w:p w14:paraId="1E6F9931" w14:textId="77777777" w:rsidR="001F431A" w:rsidRDefault="00000000">
            <w:pPr>
              <w:widowControl/>
              <w:rPr>
                <w:rFonts w:ascii="仿宋_GB2312" w:eastAsia="仿宋_GB2312"/>
                <w:sz w:val="21"/>
                <w:szCs w:val="21"/>
              </w:rPr>
            </w:pPr>
            <w:r>
              <w:rPr>
                <w:rFonts w:ascii="仿宋_GB2312" w:eastAsia="仿宋_GB2312" w:hint="eastAsia"/>
                <w:sz w:val="21"/>
                <w:szCs w:val="21"/>
              </w:rPr>
              <w:t>3.2了解中俄文化的基本特点，对跨文化研究有一定了解；</w:t>
            </w:r>
          </w:p>
        </w:tc>
      </w:tr>
      <w:tr w:rsidR="001F431A" w14:paraId="01A44CE1" w14:textId="77777777">
        <w:tc>
          <w:tcPr>
            <w:tcW w:w="1809" w:type="dxa"/>
            <w:vMerge/>
          </w:tcPr>
          <w:p w14:paraId="5B229AA3" w14:textId="77777777" w:rsidR="001F431A" w:rsidRDefault="001F431A">
            <w:pPr>
              <w:widowControl/>
              <w:numPr>
                <w:ilvl w:val="0"/>
                <w:numId w:val="1"/>
              </w:numPr>
              <w:ind w:firstLineChars="200" w:firstLine="420"/>
              <w:rPr>
                <w:rFonts w:ascii="仿宋_GB2312" w:eastAsia="仿宋_GB2312"/>
                <w:sz w:val="21"/>
                <w:szCs w:val="21"/>
              </w:rPr>
            </w:pPr>
          </w:p>
        </w:tc>
        <w:tc>
          <w:tcPr>
            <w:tcW w:w="7477" w:type="dxa"/>
          </w:tcPr>
          <w:p w14:paraId="599343FE" w14:textId="77777777" w:rsidR="001F431A" w:rsidRDefault="00000000">
            <w:pPr>
              <w:widowControl/>
              <w:rPr>
                <w:rFonts w:ascii="仿宋_GB2312" w:eastAsia="仿宋_GB2312"/>
                <w:sz w:val="21"/>
                <w:szCs w:val="21"/>
              </w:rPr>
            </w:pPr>
            <w:r>
              <w:rPr>
                <w:rFonts w:ascii="仿宋_GB2312" w:eastAsia="仿宋_GB2312" w:hint="eastAsia"/>
                <w:sz w:val="21"/>
                <w:szCs w:val="21"/>
              </w:rPr>
              <w:t>3.3能通过学习认识世界的多样性，并以开放的态度对待多元文化现象；</w:t>
            </w:r>
          </w:p>
        </w:tc>
      </w:tr>
      <w:tr w:rsidR="001F431A" w14:paraId="2F0EC41E" w14:textId="77777777">
        <w:trPr>
          <w:trHeight w:val="650"/>
        </w:trPr>
        <w:tc>
          <w:tcPr>
            <w:tcW w:w="1809" w:type="dxa"/>
            <w:vMerge w:val="restart"/>
          </w:tcPr>
          <w:p w14:paraId="3BC5753F" w14:textId="77777777" w:rsidR="001F431A" w:rsidRDefault="00000000">
            <w:pPr>
              <w:widowControl/>
              <w:rPr>
                <w:rFonts w:ascii="仿宋_GB2312" w:eastAsia="仿宋_GB2312"/>
                <w:sz w:val="21"/>
                <w:szCs w:val="21"/>
              </w:rPr>
            </w:pPr>
            <w:r>
              <w:rPr>
                <w:rFonts w:ascii="仿宋_GB2312" w:eastAsia="仿宋_GB2312" w:hint="eastAsia"/>
                <w:sz w:val="21"/>
                <w:szCs w:val="21"/>
              </w:rPr>
              <w:t>4.思想政治与国际视野</w:t>
            </w:r>
          </w:p>
        </w:tc>
        <w:tc>
          <w:tcPr>
            <w:tcW w:w="7477" w:type="dxa"/>
          </w:tcPr>
          <w:p w14:paraId="4D41B49E" w14:textId="77777777" w:rsidR="001F431A" w:rsidRDefault="00000000">
            <w:pPr>
              <w:widowControl/>
              <w:rPr>
                <w:rFonts w:ascii="仿宋_GB2312" w:eastAsia="仿宋_GB2312"/>
                <w:sz w:val="21"/>
                <w:szCs w:val="21"/>
              </w:rPr>
            </w:pPr>
            <w:r>
              <w:rPr>
                <w:rFonts w:ascii="仿宋_GB2312" w:eastAsia="仿宋_GB2312" w:hint="eastAsia"/>
                <w:sz w:val="21"/>
                <w:szCs w:val="21"/>
              </w:rPr>
              <w:t>4.1了解俄罗斯及其周边国家的政治制度、经济发展与社会现状，形成宏观国际视野；</w:t>
            </w:r>
          </w:p>
        </w:tc>
      </w:tr>
      <w:tr w:rsidR="001F431A" w14:paraId="16813B19" w14:textId="77777777">
        <w:tc>
          <w:tcPr>
            <w:tcW w:w="1809" w:type="dxa"/>
            <w:vMerge/>
          </w:tcPr>
          <w:p w14:paraId="63955B9C" w14:textId="77777777" w:rsidR="001F431A" w:rsidRDefault="001F431A">
            <w:pPr>
              <w:widowControl/>
              <w:rPr>
                <w:rFonts w:ascii="仿宋_GB2312" w:eastAsia="仿宋_GB2312"/>
                <w:sz w:val="21"/>
                <w:szCs w:val="21"/>
              </w:rPr>
            </w:pPr>
          </w:p>
        </w:tc>
        <w:tc>
          <w:tcPr>
            <w:tcW w:w="7477" w:type="dxa"/>
          </w:tcPr>
          <w:p w14:paraId="72C9A394" w14:textId="77777777" w:rsidR="001F431A" w:rsidRDefault="00000000">
            <w:pPr>
              <w:widowControl/>
              <w:rPr>
                <w:rFonts w:ascii="仿宋_GB2312" w:eastAsia="仿宋_GB2312"/>
                <w:sz w:val="21"/>
                <w:szCs w:val="21"/>
              </w:rPr>
            </w:pPr>
            <w:r>
              <w:rPr>
                <w:rFonts w:ascii="仿宋_GB2312" w:eastAsia="仿宋_GB2312" w:hint="eastAsia"/>
                <w:sz w:val="21"/>
                <w:szCs w:val="21"/>
              </w:rPr>
              <w:t>4.2具备批判性思维能力，客观评价不同国家政治制度与文化现象，坚定文化自觉与制度自信；</w:t>
            </w:r>
          </w:p>
        </w:tc>
      </w:tr>
    </w:tbl>
    <w:p w14:paraId="6E976EEC" w14:textId="77777777" w:rsidR="001F431A" w:rsidRDefault="001F431A">
      <w:pPr>
        <w:widowControl/>
        <w:rPr>
          <w:rFonts w:ascii="仿宋_GB2312" w:eastAsia="仿宋_GB2312"/>
          <w:sz w:val="28"/>
          <w:szCs w:val="28"/>
        </w:rPr>
      </w:pPr>
    </w:p>
    <w:p w14:paraId="69F15F6F" w14:textId="77777777" w:rsidR="001F431A" w:rsidRDefault="00000000">
      <w:pPr>
        <w:widowControl/>
        <w:ind w:firstLineChars="200" w:firstLine="560"/>
        <w:rPr>
          <w:rFonts w:ascii="仿宋_GB2312" w:eastAsia="仿宋_GB2312"/>
          <w:b/>
          <w:bCs/>
          <w:sz w:val="28"/>
          <w:szCs w:val="28"/>
        </w:rPr>
      </w:pPr>
      <w:r>
        <w:rPr>
          <w:rFonts w:ascii="仿宋_GB2312" w:eastAsia="仿宋_GB2312" w:hint="eastAsia"/>
          <w:b/>
          <w:bCs/>
          <w:sz w:val="28"/>
          <w:szCs w:val="28"/>
        </w:rPr>
        <w:t>三、其他要求</w:t>
      </w:r>
    </w:p>
    <w:p w14:paraId="035E41D0" w14:textId="77777777" w:rsidR="001F431A" w:rsidRDefault="00000000">
      <w:pPr>
        <w:widowControl/>
        <w:ind w:firstLineChars="200" w:firstLine="560"/>
        <w:rPr>
          <w:rFonts w:ascii="仿宋_GB2312" w:eastAsia="仿宋_GB2312"/>
          <w:sz w:val="28"/>
          <w:szCs w:val="28"/>
          <w:highlight w:val="yellow"/>
        </w:rPr>
      </w:pPr>
      <w:r>
        <w:rPr>
          <w:rFonts w:ascii="仿宋_GB2312" w:eastAsia="仿宋_GB2312" w:hint="eastAsia"/>
          <w:sz w:val="28"/>
          <w:szCs w:val="28"/>
          <w:highlight w:val="yellow"/>
        </w:rPr>
        <w:t>课程考核：课程考核采用出勤与最终考核成绩双重评定机制，要求学生出勤率不低于80%；最终考核采取“微专业内部语言水平测试（任选一个与俄罗斯相关主题做随堂报告）”，考核成绩达到合格标准，方可通过考核。</w:t>
      </w:r>
    </w:p>
    <w:p w14:paraId="05C5F721" w14:textId="77777777" w:rsidR="001F431A" w:rsidRDefault="001F431A">
      <w:pPr>
        <w:widowControl/>
        <w:spacing w:after="156" w:line="0" w:lineRule="atLeast"/>
        <w:ind w:firstLineChars="200" w:firstLine="560"/>
        <w:jc w:val="left"/>
        <w:rPr>
          <w:rFonts w:ascii="宋体" w:hAnsi="宋体" w:hint="eastAsia"/>
          <w:bCs/>
          <w:sz w:val="28"/>
          <w:szCs w:val="28"/>
        </w:rPr>
      </w:pPr>
    </w:p>
    <w:p w14:paraId="1B939917" w14:textId="77777777" w:rsidR="001F431A" w:rsidRDefault="00000000">
      <w:pPr>
        <w:spacing w:beforeLines="50" w:before="156" w:afterLines="50" w:after="156" w:line="480" w:lineRule="exact"/>
        <w:ind w:firstLineChars="200" w:firstLine="560"/>
        <w:rPr>
          <w:rFonts w:ascii="宋体" w:hAnsi="宋体" w:hint="eastAsia"/>
          <w:b/>
          <w:sz w:val="28"/>
          <w:szCs w:val="28"/>
        </w:rPr>
      </w:pPr>
      <w:r>
        <w:rPr>
          <w:rFonts w:ascii="黑体" w:eastAsia="黑体" w:hAnsi="黑体" w:cs="黑体" w:hint="eastAsia"/>
          <w:bCs/>
          <w:sz w:val="28"/>
          <w:szCs w:val="28"/>
        </w:rPr>
        <w:lastRenderedPageBreak/>
        <w:t>三、招生对象与条件</w:t>
      </w:r>
    </w:p>
    <w:p w14:paraId="7B7D1B80" w14:textId="77777777" w:rsidR="001F431A" w:rsidRDefault="00000000">
      <w:pPr>
        <w:widowControl/>
        <w:ind w:firstLineChars="200" w:firstLine="560"/>
        <w:rPr>
          <w:rFonts w:ascii="仿宋_GB2312" w:eastAsia="仿宋_GB2312"/>
          <w:sz w:val="28"/>
          <w:szCs w:val="28"/>
        </w:rPr>
      </w:pPr>
      <w:r>
        <w:rPr>
          <w:rFonts w:ascii="仿宋_GB2312" w:eastAsia="仿宋_GB2312" w:hint="eastAsia"/>
          <w:sz w:val="28"/>
          <w:szCs w:val="28"/>
        </w:rPr>
        <w:t>全校各专业本科生，大二及大三优先；零基础，少量具备俄语基础者优先。</w:t>
      </w:r>
    </w:p>
    <w:p w14:paraId="09EE98B0" w14:textId="77777777" w:rsidR="001F431A" w:rsidRDefault="00000000">
      <w:pPr>
        <w:spacing w:beforeLines="50" w:before="156" w:afterLines="50" w:after="156" w:line="48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四、学分与证书</w:t>
      </w:r>
    </w:p>
    <w:p w14:paraId="519251A0" w14:textId="77777777" w:rsidR="001F431A" w:rsidRDefault="00000000">
      <w:pPr>
        <w:widowControl/>
        <w:ind w:firstLineChars="200" w:firstLine="560"/>
        <w:rPr>
          <w:rFonts w:ascii="宋体" w:hAnsi="宋体" w:hint="eastAsia"/>
          <w:bCs/>
          <w:sz w:val="28"/>
          <w:szCs w:val="28"/>
        </w:rPr>
      </w:pPr>
      <w:r>
        <w:rPr>
          <w:rFonts w:ascii="仿宋_GB2312" w:eastAsia="仿宋_GB2312" w:hint="eastAsia"/>
          <w:sz w:val="28"/>
          <w:szCs w:val="28"/>
        </w:rPr>
        <w:t>学生在本科毕业或结业离校前，修读完成</w:t>
      </w:r>
      <w:proofErr w:type="gramStart"/>
      <w:r>
        <w:rPr>
          <w:rFonts w:ascii="仿宋_GB2312" w:eastAsia="仿宋_GB2312" w:hint="eastAsia"/>
          <w:sz w:val="28"/>
          <w:szCs w:val="28"/>
        </w:rPr>
        <w:t>微专业</w:t>
      </w:r>
      <w:proofErr w:type="gramEnd"/>
      <w:r>
        <w:rPr>
          <w:rFonts w:ascii="仿宋_GB2312" w:eastAsia="仿宋_GB2312" w:hint="eastAsia"/>
          <w:sz w:val="28"/>
          <w:szCs w:val="28"/>
        </w:rPr>
        <w:t>培养方案规定的课程，且成绩全部合格，获得相应学分，学校颁发</w:t>
      </w:r>
      <w:proofErr w:type="gramStart"/>
      <w:r>
        <w:rPr>
          <w:rFonts w:ascii="仿宋_GB2312" w:eastAsia="仿宋_GB2312" w:hint="eastAsia"/>
          <w:sz w:val="28"/>
          <w:szCs w:val="28"/>
        </w:rPr>
        <w:t>微专业</w:t>
      </w:r>
      <w:proofErr w:type="gramEnd"/>
      <w:r>
        <w:rPr>
          <w:rFonts w:ascii="仿宋_GB2312" w:eastAsia="仿宋_GB2312" w:hint="eastAsia"/>
          <w:sz w:val="28"/>
          <w:szCs w:val="28"/>
        </w:rPr>
        <w:t>证书。</w:t>
      </w:r>
    </w:p>
    <w:p w14:paraId="73DD1E29" w14:textId="77777777" w:rsidR="001F431A" w:rsidRDefault="00000000">
      <w:pPr>
        <w:spacing w:beforeLines="50" w:before="156" w:afterLines="50" w:after="156" w:line="48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五、指导性教学计划进度表</w:t>
      </w:r>
    </w:p>
    <w:tbl>
      <w:tblPr>
        <w:tblpPr w:leftFromText="180" w:rightFromText="180" w:vertAnchor="text" w:horzAnchor="page" w:tblpXSpec="center" w:tblpY="519"/>
        <w:tblOverlap w:val="never"/>
        <w:tblW w:w="50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822"/>
        <w:gridCol w:w="1082"/>
        <w:gridCol w:w="824"/>
        <w:gridCol w:w="829"/>
        <w:gridCol w:w="1049"/>
        <w:gridCol w:w="1095"/>
        <w:gridCol w:w="1138"/>
      </w:tblGrid>
      <w:tr w:rsidR="001F431A" w14:paraId="0FAE4B7A" w14:textId="77777777">
        <w:trPr>
          <w:trHeight w:val="472"/>
          <w:jc w:val="center"/>
        </w:trPr>
        <w:tc>
          <w:tcPr>
            <w:tcW w:w="1334" w:type="pct"/>
            <w:vMerge w:val="restart"/>
            <w:vAlign w:val="center"/>
          </w:tcPr>
          <w:p w14:paraId="731E0B26" w14:textId="77777777" w:rsidR="001F431A" w:rsidRDefault="00000000">
            <w:pPr>
              <w:widowControl/>
              <w:jc w:val="center"/>
              <w:rPr>
                <w:rFonts w:ascii="黑体" w:eastAsia="黑体" w:hAnsi="黑体" w:hint="eastAsia"/>
                <w:bCs/>
                <w:sz w:val="21"/>
                <w:szCs w:val="21"/>
              </w:rPr>
            </w:pPr>
            <w:r>
              <w:rPr>
                <w:rFonts w:ascii="黑体" w:eastAsia="黑体" w:hAnsi="黑体" w:hint="eastAsia"/>
                <w:bCs/>
                <w:sz w:val="21"/>
                <w:szCs w:val="21"/>
              </w:rPr>
              <w:t>课程名称</w:t>
            </w:r>
          </w:p>
        </w:tc>
        <w:tc>
          <w:tcPr>
            <w:tcW w:w="440" w:type="pct"/>
            <w:vMerge w:val="restart"/>
            <w:vAlign w:val="center"/>
          </w:tcPr>
          <w:p w14:paraId="635226AE" w14:textId="77777777" w:rsidR="001F431A" w:rsidRDefault="00000000">
            <w:pPr>
              <w:widowControl/>
              <w:jc w:val="center"/>
              <w:rPr>
                <w:rFonts w:ascii="黑体" w:eastAsia="黑体" w:hAnsi="黑体" w:hint="eastAsia"/>
                <w:bCs/>
                <w:spacing w:val="20"/>
                <w:sz w:val="21"/>
                <w:szCs w:val="21"/>
              </w:rPr>
            </w:pPr>
            <w:r>
              <w:rPr>
                <w:rFonts w:ascii="黑体" w:eastAsia="黑体" w:hAnsi="黑体" w:hint="eastAsia"/>
                <w:bCs/>
                <w:sz w:val="21"/>
                <w:szCs w:val="21"/>
              </w:rPr>
              <w:t>学分</w:t>
            </w:r>
          </w:p>
        </w:tc>
        <w:tc>
          <w:tcPr>
            <w:tcW w:w="579" w:type="pct"/>
            <w:vMerge w:val="restart"/>
            <w:vAlign w:val="center"/>
          </w:tcPr>
          <w:p w14:paraId="0365D00D" w14:textId="77777777" w:rsidR="001F431A" w:rsidRDefault="00000000">
            <w:pPr>
              <w:widowControl/>
              <w:jc w:val="center"/>
              <w:rPr>
                <w:rFonts w:ascii="黑体" w:eastAsia="黑体" w:hAnsi="黑体" w:hint="eastAsia"/>
                <w:bCs/>
                <w:sz w:val="21"/>
                <w:szCs w:val="21"/>
              </w:rPr>
            </w:pPr>
            <w:r>
              <w:rPr>
                <w:rFonts w:ascii="黑体" w:eastAsia="黑体" w:hAnsi="黑体"/>
                <w:bCs/>
                <w:sz w:val="21"/>
                <w:szCs w:val="21"/>
              </w:rPr>
              <w:t>总学时</w:t>
            </w:r>
          </w:p>
        </w:tc>
        <w:tc>
          <w:tcPr>
            <w:tcW w:w="885" w:type="pct"/>
            <w:gridSpan w:val="2"/>
            <w:vAlign w:val="center"/>
          </w:tcPr>
          <w:p w14:paraId="3C77B4F1" w14:textId="77777777" w:rsidR="001F431A" w:rsidRDefault="00000000">
            <w:pPr>
              <w:widowControl/>
              <w:snapToGrid w:val="0"/>
              <w:jc w:val="center"/>
              <w:rPr>
                <w:rFonts w:ascii="黑体" w:eastAsia="黑体" w:hAnsi="黑体" w:hint="eastAsia"/>
                <w:bCs/>
                <w:sz w:val="21"/>
                <w:szCs w:val="21"/>
              </w:rPr>
            </w:pPr>
            <w:r>
              <w:rPr>
                <w:rFonts w:ascii="黑体" w:eastAsia="黑体" w:hAnsi="黑体" w:hint="eastAsia"/>
                <w:bCs/>
                <w:sz w:val="21"/>
                <w:szCs w:val="21"/>
              </w:rPr>
              <w:t>学时分配</w:t>
            </w:r>
          </w:p>
        </w:tc>
        <w:tc>
          <w:tcPr>
            <w:tcW w:w="562" w:type="pct"/>
            <w:vMerge w:val="restart"/>
            <w:vAlign w:val="center"/>
          </w:tcPr>
          <w:p w14:paraId="7C11EAC4" w14:textId="77777777" w:rsidR="001F431A" w:rsidRDefault="00000000">
            <w:pPr>
              <w:widowControl/>
              <w:snapToGrid w:val="0"/>
              <w:jc w:val="center"/>
              <w:rPr>
                <w:rFonts w:ascii="黑体" w:eastAsia="黑体" w:hAnsi="黑体" w:hint="eastAsia"/>
                <w:bCs/>
                <w:sz w:val="21"/>
                <w:szCs w:val="21"/>
                <w:highlight w:val="yellow"/>
              </w:rPr>
            </w:pPr>
            <w:r>
              <w:rPr>
                <w:rFonts w:ascii="黑体" w:eastAsia="黑体" w:hAnsi="黑体" w:hint="eastAsia"/>
                <w:bCs/>
                <w:sz w:val="21"/>
                <w:szCs w:val="21"/>
                <w:highlight w:val="yellow"/>
              </w:rPr>
              <w:t>课程性质</w:t>
            </w:r>
          </w:p>
        </w:tc>
        <w:tc>
          <w:tcPr>
            <w:tcW w:w="587" w:type="pct"/>
            <w:vMerge w:val="restart"/>
            <w:vAlign w:val="center"/>
          </w:tcPr>
          <w:p w14:paraId="0CBD7C40" w14:textId="77777777" w:rsidR="001F431A" w:rsidRDefault="00000000">
            <w:pPr>
              <w:widowControl/>
              <w:snapToGrid w:val="0"/>
              <w:jc w:val="center"/>
              <w:rPr>
                <w:rFonts w:ascii="黑体" w:eastAsia="黑体" w:hAnsi="黑体" w:hint="eastAsia"/>
                <w:bCs/>
                <w:sz w:val="21"/>
                <w:szCs w:val="21"/>
                <w:highlight w:val="yellow"/>
              </w:rPr>
            </w:pPr>
            <w:r>
              <w:rPr>
                <w:rFonts w:ascii="黑体" w:eastAsia="黑体" w:hAnsi="黑体" w:hint="eastAsia"/>
                <w:bCs/>
                <w:sz w:val="21"/>
                <w:szCs w:val="21"/>
                <w:highlight w:val="yellow"/>
              </w:rPr>
              <w:t>考核方式</w:t>
            </w:r>
          </w:p>
        </w:tc>
        <w:tc>
          <w:tcPr>
            <w:tcW w:w="610" w:type="pct"/>
            <w:vMerge w:val="restart"/>
            <w:vAlign w:val="center"/>
          </w:tcPr>
          <w:p w14:paraId="10BEE860" w14:textId="77777777" w:rsidR="001F431A" w:rsidRDefault="00000000">
            <w:pPr>
              <w:widowControl/>
              <w:snapToGrid w:val="0"/>
              <w:jc w:val="center"/>
              <w:rPr>
                <w:rFonts w:ascii="黑体" w:eastAsia="黑体" w:hAnsi="黑体" w:hint="eastAsia"/>
                <w:bCs/>
                <w:sz w:val="21"/>
                <w:szCs w:val="21"/>
              </w:rPr>
            </w:pPr>
            <w:r>
              <w:rPr>
                <w:rFonts w:ascii="黑体" w:eastAsia="黑体" w:hAnsi="黑体"/>
                <w:bCs/>
                <w:sz w:val="21"/>
                <w:szCs w:val="21"/>
              </w:rPr>
              <w:t>开课</w:t>
            </w:r>
            <w:r>
              <w:rPr>
                <w:rFonts w:ascii="黑体" w:eastAsia="黑体" w:hAnsi="黑体" w:hint="eastAsia"/>
                <w:bCs/>
                <w:spacing w:val="20"/>
                <w:sz w:val="21"/>
                <w:szCs w:val="21"/>
              </w:rPr>
              <w:t>学期</w:t>
            </w:r>
          </w:p>
        </w:tc>
      </w:tr>
      <w:tr w:rsidR="001F431A" w14:paraId="0DD739DB" w14:textId="77777777">
        <w:trPr>
          <w:trHeight w:val="454"/>
          <w:jc w:val="center"/>
        </w:trPr>
        <w:tc>
          <w:tcPr>
            <w:tcW w:w="1334" w:type="pct"/>
            <w:vMerge/>
            <w:vAlign w:val="center"/>
          </w:tcPr>
          <w:p w14:paraId="0F806629" w14:textId="77777777" w:rsidR="001F431A" w:rsidRDefault="001F431A">
            <w:pPr>
              <w:widowControl/>
              <w:jc w:val="center"/>
              <w:rPr>
                <w:rFonts w:ascii="黑体" w:eastAsia="黑体" w:hAnsi="黑体" w:hint="eastAsia"/>
                <w:bCs/>
                <w:sz w:val="21"/>
                <w:szCs w:val="21"/>
              </w:rPr>
            </w:pPr>
          </w:p>
        </w:tc>
        <w:tc>
          <w:tcPr>
            <w:tcW w:w="440" w:type="pct"/>
            <w:vMerge/>
            <w:tcBorders>
              <w:bottom w:val="single" w:sz="4" w:space="0" w:color="auto"/>
            </w:tcBorders>
            <w:vAlign w:val="center"/>
          </w:tcPr>
          <w:p w14:paraId="4FB52F29" w14:textId="77777777" w:rsidR="001F431A" w:rsidRDefault="001F431A">
            <w:pPr>
              <w:widowControl/>
              <w:jc w:val="center"/>
              <w:rPr>
                <w:rFonts w:ascii="黑体" w:eastAsia="黑体" w:hAnsi="黑体" w:hint="eastAsia"/>
                <w:bCs/>
                <w:sz w:val="21"/>
                <w:szCs w:val="21"/>
              </w:rPr>
            </w:pPr>
          </w:p>
        </w:tc>
        <w:tc>
          <w:tcPr>
            <w:tcW w:w="579" w:type="pct"/>
            <w:vMerge/>
            <w:vAlign w:val="center"/>
          </w:tcPr>
          <w:p w14:paraId="039AE33D" w14:textId="77777777" w:rsidR="001F431A" w:rsidRDefault="001F431A">
            <w:pPr>
              <w:widowControl/>
              <w:jc w:val="center"/>
              <w:rPr>
                <w:rFonts w:ascii="黑体" w:eastAsia="黑体" w:hAnsi="黑体" w:hint="eastAsia"/>
                <w:bCs/>
                <w:sz w:val="21"/>
                <w:szCs w:val="21"/>
              </w:rPr>
            </w:pPr>
          </w:p>
        </w:tc>
        <w:tc>
          <w:tcPr>
            <w:tcW w:w="441" w:type="pct"/>
            <w:vAlign w:val="center"/>
          </w:tcPr>
          <w:p w14:paraId="0D1B5BF6" w14:textId="77777777" w:rsidR="001F431A" w:rsidRDefault="00000000">
            <w:pPr>
              <w:widowControl/>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444" w:type="pct"/>
            <w:vAlign w:val="center"/>
          </w:tcPr>
          <w:p w14:paraId="1ACC9105" w14:textId="77777777" w:rsidR="001F431A" w:rsidRDefault="00000000">
            <w:pPr>
              <w:widowControl/>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562" w:type="pct"/>
            <w:vMerge/>
            <w:vAlign w:val="center"/>
          </w:tcPr>
          <w:p w14:paraId="65951E38" w14:textId="77777777" w:rsidR="001F431A" w:rsidRDefault="001F431A">
            <w:pPr>
              <w:widowControl/>
              <w:snapToGrid w:val="0"/>
              <w:jc w:val="center"/>
              <w:rPr>
                <w:rFonts w:ascii="黑体" w:eastAsia="黑体" w:hAnsi="黑体" w:hint="eastAsia"/>
                <w:bCs/>
                <w:sz w:val="21"/>
                <w:szCs w:val="21"/>
              </w:rPr>
            </w:pPr>
          </w:p>
        </w:tc>
        <w:tc>
          <w:tcPr>
            <w:tcW w:w="587" w:type="pct"/>
            <w:vMerge/>
            <w:tcBorders>
              <w:bottom w:val="single" w:sz="4" w:space="0" w:color="auto"/>
            </w:tcBorders>
            <w:vAlign w:val="center"/>
          </w:tcPr>
          <w:p w14:paraId="3B8BD0E3" w14:textId="77777777" w:rsidR="001F431A" w:rsidRDefault="001F431A">
            <w:pPr>
              <w:widowControl/>
              <w:snapToGrid w:val="0"/>
              <w:jc w:val="center"/>
              <w:rPr>
                <w:rFonts w:ascii="黑体" w:eastAsia="黑体" w:hAnsi="黑体" w:hint="eastAsia"/>
                <w:bCs/>
                <w:sz w:val="21"/>
                <w:szCs w:val="21"/>
              </w:rPr>
            </w:pPr>
          </w:p>
        </w:tc>
        <w:tc>
          <w:tcPr>
            <w:tcW w:w="610" w:type="pct"/>
            <w:vMerge/>
            <w:tcBorders>
              <w:bottom w:val="single" w:sz="4" w:space="0" w:color="auto"/>
            </w:tcBorders>
            <w:vAlign w:val="center"/>
          </w:tcPr>
          <w:p w14:paraId="66ADE460" w14:textId="77777777" w:rsidR="001F431A" w:rsidRDefault="001F431A">
            <w:pPr>
              <w:widowControl/>
              <w:snapToGrid w:val="0"/>
              <w:jc w:val="center"/>
              <w:rPr>
                <w:rFonts w:ascii="黑体" w:eastAsia="黑体" w:hAnsi="黑体" w:hint="eastAsia"/>
                <w:bCs/>
                <w:sz w:val="21"/>
                <w:szCs w:val="21"/>
              </w:rPr>
            </w:pPr>
          </w:p>
        </w:tc>
      </w:tr>
      <w:tr w:rsidR="001F431A" w14:paraId="4254B183" w14:textId="77777777">
        <w:trPr>
          <w:trHeight w:val="453"/>
          <w:jc w:val="center"/>
        </w:trPr>
        <w:tc>
          <w:tcPr>
            <w:tcW w:w="1334" w:type="pct"/>
            <w:vAlign w:val="center"/>
          </w:tcPr>
          <w:p w14:paraId="691CB915" w14:textId="77777777" w:rsidR="001F431A" w:rsidRDefault="00000000">
            <w:pPr>
              <w:widowControl/>
              <w:jc w:val="center"/>
              <w:rPr>
                <w:rFonts w:ascii="仿宋_GB2312" w:eastAsia="仿宋_GB2312" w:hAnsi="仿宋_GB2312" w:cs="仿宋_GB2312" w:hint="eastAsia"/>
                <w:bCs/>
                <w:color w:val="0000FF"/>
                <w:spacing w:val="20"/>
                <w:sz w:val="21"/>
                <w:szCs w:val="21"/>
              </w:rPr>
            </w:pPr>
            <w:r>
              <w:rPr>
                <w:rFonts w:eastAsia="仿宋_GB2312" w:hint="eastAsia"/>
                <w:sz w:val="21"/>
                <w:szCs w:val="21"/>
              </w:rPr>
              <w:t>俄语入门</w:t>
            </w:r>
            <w:r>
              <w:rPr>
                <w:rFonts w:eastAsia="仿宋_GB2312" w:hint="eastAsia"/>
                <w:sz w:val="21"/>
                <w:szCs w:val="21"/>
              </w:rPr>
              <w:t>1</w:t>
            </w:r>
          </w:p>
        </w:tc>
        <w:tc>
          <w:tcPr>
            <w:tcW w:w="440" w:type="pct"/>
            <w:vAlign w:val="center"/>
          </w:tcPr>
          <w:p w14:paraId="7D68210F"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2</w:t>
            </w:r>
          </w:p>
        </w:tc>
        <w:tc>
          <w:tcPr>
            <w:tcW w:w="579" w:type="pct"/>
            <w:vAlign w:val="center"/>
          </w:tcPr>
          <w:p w14:paraId="360311AB"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30</w:t>
            </w:r>
          </w:p>
        </w:tc>
        <w:tc>
          <w:tcPr>
            <w:tcW w:w="441" w:type="pct"/>
            <w:vAlign w:val="center"/>
          </w:tcPr>
          <w:p w14:paraId="13216EC1"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15</w:t>
            </w:r>
          </w:p>
        </w:tc>
        <w:tc>
          <w:tcPr>
            <w:tcW w:w="444" w:type="pct"/>
            <w:vAlign w:val="center"/>
          </w:tcPr>
          <w:p w14:paraId="1229CE33"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15</w:t>
            </w:r>
          </w:p>
        </w:tc>
        <w:tc>
          <w:tcPr>
            <w:tcW w:w="562" w:type="pct"/>
            <w:vAlign w:val="center"/>
          </w:tcPr>
          <w:p w14:paraId="5F505447" w14:textId="6511E2E0" w:rsidR="001F431A" w:rsidRDefault="006D0A21">
            <w:pPr>
              <w:widowControl/>
              <w:jc w:val="center"/>
              <w:rPr>
                <w:rFonts w:ascii="仿宋_GB2312" w:eastAsia="仿宋_GB2312" w:hAnsi="仿宋_GB2312" w:cs="仿宋_GB2312" w:hint="eastAsia"/>
                <w:bCs/>
                <w:color w:val="0000FF"/>
                <w:spacing w:val="20"/>
                <w:sz w:val="21"/>
                <w:szCs w:val="21"/>
                <w:highlight w:val="yellow"/>
              </w:rPr>
            </w:pPr>
            <w:r>
              <w:rPr>
                <w:rFonts w:ascii="仿宋_GB2312" w:eastAsia="仿宋_GB2312" w:hAnsi="仿宋_GB2312" w:cs="仿宋_GB2312" w:hint="eastAsia"/>
                <w:bCs/>
                <w:color w:val="0000FF"/>
                <w:spacing w:val="20"/>
                <w:sz w:val="21"/>
                <w:szCs w:val="21"/>
                <w:highlight w:val="yellow"/>
              </w:rPr>
              <w:t>必</w:t>
            </w:r>
            <w:r w:rsidR="00000000">
              <w:rPr>
                <w:rFonts w:ascii="仿宋_GB2312" w:eastAsia="仿宋_GB2312" w:hAnsi="仿宋_GB2312" w:cs="仿宋_GB2312" w:hint="eastAsia"/>
                <w:bCs/>
                <w:color w:val="0000FF"/>
                <w:spacing w:val="20"/>
                <w:sz w:val="21"/>
                <w:szCs w:val="21"/>
                <w:highlight w:val="yellow"/>
              </w:rPr>
              <w:t>修</w:t>
            </w:r>
          </w:p>
        </w:tc>
        <w:tc>
          <w:tcPr>
            <w:tcW w:w="587" w:type="pct"/>
            <w:vAlign w:val="center"/>
          </w:tcPr>
          <w:p w14:paraId="5D162918" w14:textId="77777777" w:rsidR="001F431A" w:rsidRDefault="00000000">
            <w:pPr>
              <w:widowControl/>
              <w:jc w:val="center"/>
              <w:rPr>
                <w:rFonts w:ascii="仿宋_GB2312" w:eastAsia="仿宋_GB2312" w:hAnsi="仿宋_GB2312" w:cs="仿宋_GB2312" w:hint="eastAsia"/>
                <w:bCs/>
                <w:color w:val="0000FF"/>
                <w:spacing w:val="20"/>
                <w:sz w:val="21"/>
                <w:szCs w:val="21"/>
                <w:highlight w:val="yellow"/>
              </w:rPr>
            </w:pPr>
            <w:r>
              <w:rPr>
                <w:rFonts w:ascii="仿宋_GB2312" w:eastAsia="仿宋_GB2312" w:hAnsi="仿宋_GB2312" w:cs="仿宋_GB2312" w:hint="eastAsia"/>
                <w:bCs/>
                <w:color w:val="0000FF"/>
                <w:spacing w:val="20"/>
                <w:sz w:val="21"/>
                <w:szCs w:val="21"/>
                <w:highlight w:val="yellow"/>
              </w:rPr>
              <w:t>考查</w:t>
            </w:r>
          </w:p>
        </w:tc>
        <w:tc>
          <w:tcPr>
            <w:tcW w:w="610" w:type="pct"/>
            <w:vAlign w:val="center"/>
          </w:tcPr>
          <w:p w14:paraId="23C1BD60" w14:textId="23773FCA" w:rsidR="001F431A" w:rsidRDefault="006D0A21">
            <w:pPr>
              <w:widowControl/>
              <w:jc w:val="center"/>
              <w:rPr>
                <w:rFonts w:ascii="仿宋_GB2312" w:eastAsia="仿宋_GB2312" w:hAnsi="仿宋_GB2312" w:cs="仿宋_GB2312" w:hint="eastAsia"/>
                <w:bCs/>
                <w:color w:val="0000FF"/>
                <w:spacing w:val="20"/>
                <w:sz w:val="21"/>
                <w:szCs w:val="21"/>
                <w:highlight w:val="yellow"/>
              </w:rPr>
            </w:pPr>
            <w:r>
              <w:rPr>
                <w:rFonts w:ascii="仿宋_GB2312" w:eastAsia="仿宋_GB2312" w:hAnsi="仿宋_GB2312" w:cs="仿宋_GB2312" w:hint="eastAsia"/>
                <w:bCs/>
                <w:color w:val="0000FF"/>
                <w:spacing w:val="20"/>
                <w:sz w:val="21"/>
                <w:szCs w:val="21"/>
                <w:highlight w:val="yellow"/>
              </w:rPr>
              <w:t>3</w:t>
            </w:r>
          </w:p>
        </w:tc>
      </w:tr>
      <w:tr w:rsidR="001F431A" w14:paraId="6BDA8708" w14:textId="77777777">
        <w:trPr>
          <w:trHeight w:val="453"/>
          <w:jc w:val="center"/>
        </w:trPr>
        <w:tc>
          <w:tcPr>
            <w:tcW w:w="1334" w:type="pct"/>
            <w:vAlign w:val="center"/>
          </w:tcPr>
          <w:p w14:paraId="25801A44" w14:textId="77777777" w:rsidR="001F431A" w:rsidRDefault="00000000">
            <w:pPr>
              <w:widowControl/>
              <w:jc w:val="center"/>
              <w:rPr>
                <w:rFonts w:ascii="仿宋_GB2312" w:eastAsia="仿宋_GB2312" w:hAnsi="仿宋_GB2312" w:cs="仿宋_GB2312" w:hint="eastAsia"/>
                <w:bCs/>
                <w:spacing w:val="20"/>
                <w:sz w:val="21"/>
                <w:szCs w:val="21"/>
              </w:rPr>
            </w:pPr>
            <w:r>
              <w:rPr>
                <w:rFonts w:eastAsia="仿宋_GB2312" w:hint="eastAsia"/>
                <w:sz w:val="21"/>
                <w:szCs w:val="21"/>
              </w:rPr>
              <w:t>俄语入门</w:t>
            </w:r>
            <w:r>
              <w:rPr>
                <w:rFonts w:eastAsia="仿宋_GB2312" w:hint="eastAsia"/>
                <w:sz w:val="21"/>
                <w:szCs w:val="21"/>
              </w:rPr>
              <w:t>2</w:t>
            </w:r>
          </w:p>
        </w:tc>
        <w:tc>
          <w:tcPr>
            <w:tcW w:w="440" w:type="pct"/>
            <w:vAlign w:val="center"/>
          </w:tcPr>
          <w:p w14:paraId="56E6768D"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2</w:t>
            </w:r>
          </w:p>
        </w:tc>
        <w:tc>
          <w:tcPr>
            <w:tcW w:w="579" w:type="pct"/>
            <w:vAlign w:val="center"/>
          </w:tcPr>
          <w:p w14:paraId="362B1360"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30</w:t>
            </w:r>
          </w:p>
        </w:tc>
        <w:tc>
          <w:tcPr>
            <w:tcW w:w="441" w:type="pct"/>
            <w:vAlign w:val="center"/>
          </w:tcPr>
          <w:p w14:paraId="731DB63F"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15</w:t>
            </w:r>
          </w:p>
        </w:tc>
        <w:tc>
          <w:tcPr>
            <w:tcW w:w="444" w:type="pct"/>
            <w:vAlign w:val="center"/>
          </w:tcPr>
          <w:p w14:paraId="293596B9"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15</w:t>
            </w:r>
          </w:p>
        </w:tc>
        <w:tc>
          <w:tcPr>
            <w:tcW w:w="562" w:type="pct"/>
            <w:vAlign w:val="center"/>
          </w:tcPr>
          <w:p w14:paraId="76153A76" w14:textId="2E1A22ED" w:rsidR="001F431A" w:rsidRDefault="006D0A21">
            <w:pPr>
              <w:widowControl/>
              <w:jc w:val="center"/>
              <w:rPr>
                <w:rFonts w:ascii="仿宋_GB2312" w:eastAsia="仿宋_GB2312" w:hAnsi="仿宋_GB2312" w:cs="仿宋_GB2312" w:hint="eastAsia"/>
                <w:bCs/>
                <w:spacing w:val="20"/>
                <w:sz w:val="21"/>
                <w:szCs w:val="21"/>
                <w:highlight w:val="yellow"/>
              </w:rPr>
            </w:pPr>
            <w:r>
              <w:rPr>
                <w:rFonts w:ascii="仿宋_GB2312" w:eastAsia="仿宋_GB2312" w:hAnsi="仿宋_GB2312" w:cs="仿宋_GB2312" w:hint="eastAsia"/>
                <w:bCs/>
                <w:color w:val="0000FF"/>
                <w:spacing w:val="20"/>
                <w:sz w:val="21"/>
                <w:szCs w:val="21"/>
                <w:highlight w:val="yellow"/>
              </w:rPr>
              <w:t>必</w:t>
            </w:r>
            <w:r w:rsidR="00000000">
              <w:rPr>
                <w:rFonts w:ascii="仿宋_GB2312" w:eastAsia="仿宋_GB2312" w:hAnsi="仿宋_GB2312" w:cs="仿宋_GB2312" w:hint="eastAsia"/>
                <w:bCs/>
                <w:color w:val="0000FF"/>
                <w:spacing w:val="20"/>
                <w:sz w:val="21"/>
                <w:szCs w:val="21"/>
                <w:highlight w:val="yellow"/>
              </w:rPr>
              <w:t>修</w:t>
            </w:r>
          </w:p>
        </w:tc>
        <w:tc>
          <w:tcPr>
            <w:tcW w:w="587" w:type="pct"/>
            <w:vAlign w:val="center"/>
          </w:tcPr>
          <w:p w14:paraId="54350437" w14:textId="77777777" w:rsidR="001F431A" w:rsidRDefault="00000000">
            <w:pPr>
              <w:widowControl/>
              <w:jc w:val="center"/>
              <w:rPr>
                <w:rFonts w:ascii="仿宋_GB2312" w:eastAsia="仿宋_GB2312" w:hAnsi="仿宋_GB2312" w:cs="仿宋_GB2312" w:hint="eastAsia"/>
                <w:bCs/>
                <w:spacing w:val="20"/>
                <w:sz w:val="21"/>
                <w:szCs w:val="21"/>
                <w:highlight w:val="yellow"/>
              </w:rPr>
            </w:pPr>
            <w:r>
              <w:rPr>
                <w:rFonts w:ascii="仿宋_GB2312" w:eastAsia="仿宋_GB2312" w:hAnsi="仿宋_GB2312" w:cs="仿宋_GB2312" w:hint="eastAsia"/>
                <w:bCs/>
                <w:color w:val="0000FF"/>
                <w:spacing w:val="20"/>
                <w:sz w:val="21"/>
                <w:szCs w:val="21"/>
                <w:highlight w:val="yellow"/>
              </w:rPr>
              <w:t>考查</w:t>
            </w:r>
          </w:p>
        </w:tc>
        <w:tc>
          <w:tcPr>
            <w:tcW w:w="610" w:type="pct"/>
            <w:vAlign w:val="center"/>
          </w:tcPr>
          <w:p w14:paraId="709FF17B" w14:textId="3E167496" w:rsidR="001F431A" w:rsidRDefault="006D0A21">
            <w:pPr>
              <w:widowControl/>
              <w:jc w:val="center"/>
              <w:rPr>
                <w:rFonts w:ascii="仿宋_GB2312" w:eastAsia="仿宋_GB2312" w:hAnsi="仿宋_GB2312" w:cs="仿宋_GB2312" w:hint="eastAsia"/>
                <w:bCs/>
                <w:spacing w:val="20"/>
                <w:sz w:val="21"/>
                <w:szCs w:val="21"/>
                <w:highlight w:val="yellow"/>
              </w:rPr>
            </w:pPr>
            <w:r>
              <w:rPr>
                <w:rFonts w:ascii="仿宋_GB2312" w:eastAsia="仿宋_GB2312" w:hAnsi="仿宋_GB2312" w:cs="仿宋_GB2312" w:hint="eastAsia"/>
                <w:bCs/>
                <w:spacing w:val="20"/>
                <w:sz w:val="21"/>
                <w:szCs w:val="21"/>
                <w:highlight w:val="yellow"/>
              </w:rPr>
              <w:t>4</w:t>
            </w:r>
          </w:p>
        </w:tc>
      </w:tr>
      <w:tr w:rsidR="001F431A" w14:paraId="04DA8F8F" w14:textId="77777777">
        <w:trPr>
          <w:trHeight w:val="453"/>
          <w:jc w:val="center"/>
        </w:trPr>
        <w:tc>
          <w:tcPr>
            <w:tcW w:w="1334" w:type="pct"/>
            <w:vAlign w:val="center"/>
          </w:tcPr>
          <w:p w14:paraId="268729B9" w14:textId="77777777" w:rsidR="001F431A" w:rsidRDefault="00000000">
            <w:pPr>
              <w:widowControl/>
              <w:jc w:val="center"/>
              <w:rPr>
                <w:rFonts w:ascii="仿宋_GB2312" w:eastAsia="仿宋_GB2312" w:hAnsi="仿宋_GB2312" w:cs="仿宋_GB2312" w:hint="eastAsia"/>
                <w:bCs/>
                <w:spacing w:val="20"/>
                <w:sz w:val="21"/>
                <w:szCs w:val="21"/>
              </w:rPr>
            </w:pPr>
            <w:r>
              <w:rPr>
                <w:rFonts w:eastAsia="仿宋_GB2312" w:hint="eastAsia"/>
                <w:sz w:val="21"/>
                <w:szCs w:val="21"/>
              </w:rPr>
              <w:t>俄罗斯经典文学赏析</w:t>
            </w:r>
          </w:p>
        </w:tc>
        <w:tc>
          <w:tcPr>
            <w:tcW w:w="822" w:type="dxa"/>
            <w:vAlign w:val="center"/>
          </w:tcPr>
          <w:p w14:paraId="548BA10E"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2</w:t>
            </w:r>
          </w:p>
        </w:tc>
        <w:tc>
          <w:tcPr>
            <w:tcW w:w="1081" w:type="dxa"/>
            <w:vAlign w:val="center"/>
          </w:tcPr>
          <w:p w14:paraId="66349D43"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30</w:t>
            </w:r>
          </w:p>
        </w:tc>
        <w:tc>
          <w:tcPr>
            <w:tcW w:w="824" w:type="dxa"/>
            <w:vAlign w:val="center"/>
          </w:tcPr>
          <w:p w14:paraId="66D337DC"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15</w:t>
            </w:r>
          </w:p>
        </w:tc>
        <w:tc>
          <w:tcPr>
            <w:tcW w:w="829" w:type="dxa"/>
            <w:vAlign w:val="center"/>
          </w:tcPr>
          <w:p w14:paraId="006F763D"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15</w:t>
            </w:r>
          </w:p>
        </w:tc>
        <w:tc>
          <w:tcPr>
            <w:tcW w:w="562" w:type="pct"/>
            <w:vAlign w:val="center"/>
          </w:tcPr>
          <w:p w14:paraId="42198ADC"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color w:val="0000FF"/>
                <w:spacing w:val="20"/>
                <w:sz w:val="21"/>
                <w:szCs w:val="21"/>
                <w:highlight w:val="yellow"/>
              </w:rPr>
              <w:t>选修</w:t>
            </w:r>
          </w:p>
        </w:tc>
        <w:tc>
          <w:tcPr>
            <w:tcW w:w="587" w:type="pct"/>
            <w:vAlign w:val="center"/>
          </w:tcPr>
          <w:p w14:paraId="3F12BD87"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color w:val="0000FF"/>
                <w:spacing w:val="20"/>
                <w:sz w:val="21"/>
                <w:szCs w:val="21"/>
                <w:highlight w:val="yellow"/>
              </w:rPr>
              <w:t>考查</w:t>
            </w:r>
          </w:p>
        </w:tc>
        <w:tc>
          <w:tcPr>
            <w:tcW w:w="610" w:type="pct"/>
            <w:vAlign w:val="center"/>
          </w:tcPr>
          <w:p w14:paraId="16500E50" w14:textId="12B51D30" w:rsidR="001F431A" w:rsidRDefault="006D0A21">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3</w:t>
            </w:r>
          </w:p>
        </w:tc>
      </w:tr>
      <w:tr w:rsidR="001F431A" w14:paraId="316FD04C" w14:textId="77777777">
        <w:trPr>
          <w:trHeight w:val="453"/>
          <w:jc w:val="center"/>
        </w:trPr>
        <w:tc>
          <w:tcPr>
            <w:tcW w:w="1334" w:type="pct"/>
            <w:vAlign w:val="center"/>
          </w:tcPr>
          <w:p w14:paraId="2A58396A" w14:textId="77777777" w:rsidR="001F431A" w:rsidRDefault="00000000">
            <w:pPr>
              <w:widowControl/>
              <w:jc w:val="center"/>
              <w:rPr>
                <w:rFonts w:ascii="仿宋_GB2312" w:eastAsia="仿宋_GB2312" w:hAnsi="仿宋_GB2312" w:cs="仿宋_GB2312" w:hint="eastAsia"/>
                <w:bCs/>
                <w:spacing w:val="20"/>
                <w:sz w:val="21"/>
                <w:szCs w:val="21"/>
              </w:rPr>
            </w:pPr>
            <w:r>
              <w:rPr>
                <w:rFonts w:eastAsia="仿宋_GB2312" w:hint="eastAsia"/>
                <w:sz w:val="21"/>
                <w:szCs w:val="21"/>
              </w:rPr>
              <w:t>俄罗斯艺术史</w:t>
            </w:r>
          </w:p>
        </w:tc>
        <w:tc>
          <w:tcPr>
            <w:tcW w:w="822" w:type="dxa"/>
            <w:vAlign w:val="center"/>
          </w:tcPr>
          <w:p w14:paraId="6C1F856A"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2</w:t>
            </w:r>
          </w:p>
        </w:tc>
        <w:tc>
          <w:tcPr>
            <w:tcW w:w="1081" w:type="dxa"/>
            <w:vAlign w:val="center"/>
          </w:tcPr>
          <w:p w14:paraId="3868E84D"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30</w:t>
            </w:r>
          </w:p>
        </w:tc>
        <w:tc>
          <w:tcPr>
            <w:tcW w:w="824" w:type="dxa"/>
            <w:vAlign w:val="center"/>
          </w:tcPr>
          <w:p w14:paraId="0372D933"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15</w:t>
            </w:r>
          </w:p>
        </w:tc>
        <w:tc>
          <w:tcPr>
            <w:tcW w:w="829" w:type="dxa"/>
            <w:vAlign w:val="center"/>
          </w:tcPr>
          <w:p w14:paraId="068A6C6A"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15</w:t>
            </w:r>
          </w:p>
        </w:tc>
        <w:tc>
          <w:tcPr>
            <w:tcW w:w="562" w:type="pct"/>
            <w:vAlign w:val="center"/>
          </w:tcPr>
          <w:p w14:paraId="2F0A46F5"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color w:val="0000FF"/>
                <w:spacing w:val="20"/>
                <w:sz w:val="21"/>
                <w:szCs w:val="21"/>
                <w:highlight w:val="yellow"/>
              </w:rPr>
              <w:t>选修</w:t>
            </w:r>
          </w:p>
        </w:tc>
        <w:tc>
          <w:tcPr>
            <w:tcW w:w="587" w:type="pct"/>
            <w:vAlign w:val="center"/>
          </w:tcPr>
          <w:p w14:paraId="6B049A56"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color w:val="0000FF"/>
                <w:spacing w:val="20"/>
                <w:sz w:val="21"/>
                <w:szCs w:val="21"/>
                <w:highlight w:val="yellow"/>
              </w:rPr>
              <w:t>考查</w:t>
            </w:r>
          </w:p>
        </w:tc>
        <w:tc>
          <w:tcPr>
            <w:tcW w:w="610" w:type="pct"/>
            <w:vAlign w:val="center"/>
          </w:tcPr>
          <w:p w14:paraId="43845839" w14:textId="6DA809A5" w:rsidR="001F431A" w:rsidRDefault="006D0A21">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4</w:t>
            </w:r>
          </w:p>
        </w:tc>
      </w:tr>
      <w:tr w:rsidR="001F431A" w14:paraId="527D63E6" w14:textId="77777777">
        <w:trPr>
          <w:trHeight w:val="453"/>
          <w:jc w:val="center"/>
        </w:trPr>
        <w:tc>
          <w:tcPr>
            <w:tcW w:w="1334" w:type="pct"/>
            <w:vAlign w:val="center"/>
          </w:tcPr>
          <w:p w14:paraId="03CBDEBC" w14:textId="77777777" w:rsidR="001F431A" w:rsidRDefault="00000000">
            <w:pPr>
              <w:widowControl/>
              <w:jc w:val="center"/>
              <w:rPr>
                <w:rFonts w:ascii="仿宋_GB2312" w:eastAsia="仿宋_GB2312" w:hAnsi="仿宋_GB2312" w:cs="仿宋_GB2312" w:hint="eastAsia"/>
                <w:bCs/>
                <w:spacing w:val="20"/>
                <w:sz w:val="21"/>
                <w:szCs w:val="21"/>
              </w:rPr>
            </w:pPr>
            <w:r>
              <w:rPr>
                <w:rFonts w:eastAsia="仿宋_GB2312" w:hint="eastAsia"/>
                <w:sz w:val="21"/>
                <w:szCs w:val="21"/>
              </w:rPr>
              <w:t>俄罗斯国情及社会文化</w:t>
            </w:r>
          </w:p>
        </w:tc>
        <w:tc>
          <w:tcPr>
            <w:tcW w:w="822" w:type="dxa"/>
            <w:vAlign w:val="center"/>
          </w:tcPr>
          <w:p w14:paraId="2CA59031"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2</w:t>
            </w:r>
          </w:p>
        </w:tc>
        <w:tc>
          <w:tcPr>
            <w:tcW w:w="1081" w:type="dxa"/>
            <w:vAlign w:val="center"/>
          </w:tcPr>
          <w:p w14:paraId="683D8EFF"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30</w:t>
            </w:r>
          </w:p>
        </w:tc>
        <w:tc>
          <w:tcPr>
            <w:tcW w:w="824" w:type="dxa"/>
            <w:vAlign w:val="center"/>
          </w:tcPr>
          <w:p w14:paraId="1D9885B9"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15</w:t>
            </w:r>
          </w:p>
        </w:tc>
        <w:tc>
          <w:tcPr>
            <w:tcW w:w="829" w:type="dxa"/>
            <w:vAlign w:val="center"/>
          </w:tcPr>
          <w:p w14:paraId="7FEE2C63"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15</w:t>
            </w:r>
          </w:p>
        </w:tc>
        <w:tc>
          <w:tcPr>
            <w:tcW w:w="562" w:type="pct"/>
            <w:vAlign w:val="center"/>
          </w:tcPr>
          <w:p w14:paraId="3C43D818" w14:textId="31D42409" w:rsidR="001F431A" w:rsidRDefault="006D0A21">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color w:val="0000FF"/>
                <w:spacing w:val="20"/>
                <w:sz w:val="21"/>
                <w:szCs w:val="21"/>
                <w:highlight w:val="yellow"/>
              </w:rPr>
              <w:t>必</w:t>
            </w:r>
            <w:r w:rsidR="00000000">
              <w:rPr>
                <w:rFonts w:ascii="仿宋_GB2312" w:eastAsia="仿宋_GB2312" w:hAnsi="仿宋_GB2312" w:cs="仿宋_GB2312" w:hint="eastAsia"/>
                <w:bCs/>
                <w:color w:val="0000FF"/>
                <w:spacing w:val="20"/>
                <w:sz w:val="21"/>
                <w:szCs w:val="21"/>
                <w:highlight w:val="yellow"/>
              </w:rPr>
              <w:t>修</w:t>
            </w:r>
          </w:p>
        </w:tc>
        <w:tc>
          <w:tcPr>
            <w:tcW w:w="587" w:type="pct"/>
            <w:vAlign w:val="center"/>
          </w:tcPr>
          <w:p w14:paraId="04FF633B"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color w:val="0000FF"/>
                <w:spacing w:val="20"/>
                <w:sz w:val="21"/>
                <w:szCs w:val="21"/>
                <w:highlight w:val="yellow"/>
              </w:rPr>
              <w:t>考查</w:t>
            </w:r>
          </w:p>
        </w:tc>
        <w:tc>
          <w:tcPr>
            <w:tcW w:w="610" w:type="pct"/>
            <w:vAlign w:val="center"/>
          </w:tcPr>
          <w:p w14:paraId="494484CE" w14:textId="7B50BEA1" w:rsidR="001F431A" w:rsidRDefault="006D0A21">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4</w:t>
            </w:r>
          </w:p>
        </w:tc>
      </w:tr>
      <w:tr w:rsidR="001F431A" w14:paraId="5419A902" w14:textId="77777777">
        <w:trPr>
          <w:trHeight w:val="425"/>
          <w:jc w:val="center"/>
        </w:trPr>
        <w:tc>
          <w:tcPr>
            <w:tcW w:w="1334" w:type="pct"/>
            <w:tcBorders>
              <w:bottom w:val="single" w:sz="4" w:space="0" w:color="auto"/>
            </w:tcBorders>
            <w:vAlign w:val="center"/>
          </w:tcPr>
          <w:p w14:paraId="2AAA3248"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合计</w:t>
            </w:r>
          </w:p>
        </w:tc>
        <w:tc>
          <w:tcPr>
            <w:tcW w:w="440" w:type="pct"/>
            <w:tcBorders>
              <w:bottom w:val="single" w:sz="4" w:space="0" w:color="auto"/>
            </w:tcBorders>
            <w:vAlign w:val="center"/>
          </w:tcPr>
          <w:p w14:paraId="28508F0D"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10</w:t>
            </w:r>
          </w:p>
        </w:tc>
        <w:tc>
          <w:tcPr>
            <w:tcW w:w="579" w:type="pct"/>
            <w:tcBorders>
              <w:bottom w:val="single" w:sz="4" w:space="0" w:color="auto"/>
            </w:tcBorders>
            <w:vAlign w:val="center"/>
          </w:tcPr>
          <w:p w14:paraId="6B1D101D"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150</w:t>
            </w:r>
          </w:p>
        </w:tc>
        <w:tc>
          <w:tcPr>
            <w:tcW w:w="441" w:type="pct"/>
            <w:tcBorders>
              <w:bottom w:val="single" w:sz="4" w:space="0" w:color="auto"/>
            </w:tcBorders>
            <w:vAlign w:val="center"/>
          </w:tcPr>
          <w:p w14:paraId="0657AF29"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75</w:t>
            </w:r>
          </w:p>
        </w:tc>
        <w:tc>
          <w:tcPr>
            <w:tcW w:w="444" w:type="pct"/>
            <w:tcBorders>
              <w:bottom w:val="single" w:sz="4" w:space="0" w:color="auto"/>
            </w:tcBorders>
            <w:vAlign w:val="center"/>
          </w:tcPr>
          <w:p w14:paraId="040431FB"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75</w:t>
            </w:r>
          </w:p>
        </w:tc>
        <w:tc>
          <w:tcPr>
            <w:tcW w:w="562" w:type="pct"/>
            <w:tcBorders>
              <w:bottom w:val="single" w:sz="4" w:space="0" w:color="auto"/>
            </w:tcBorders>
            <w:vAlign w:val="center"/>
          </w:tcPr>
          <w:p w14:paraId="2AC874A4" w14:textId="77777777" w:rsidR="001F431A" w:rsidRDefault="001F431A">
            <w:pPr>
              <w:widowControl/>
              <w:jc w:val="center"/>
              <w:rPr>
                <w:rFonts w:ascii="仿宋_GB2312" w:eastAsia="仿宋_GB2312" w:hAnsi="仿宋_GB2312" w:cs="仿宋_GB2312" w:hint="eastAsia"/>
                <w:bCs/>
                <w:spacing w:val="20"/>
                <w:sz w:val="21"/>
                <w:szCs w:val="21"/>
              </w:rPr>
            </w:pPr>
          </w:p>
        </w:tc>
        <w:tc>
          <w:tcPr>
            <w:tcW w:w="587" w:type="pct"/>
            <w:tcBorders>
              <w:bottom w:val="single" w:sz="4" w:space="0" w:color="auto"/>
            </w:tcBorders>
            <w:vAlign w:val="center"/>
          </w:tcPr>
          <w:p w14:paraId="3E23AD51" w14:textId="77777777" w:rsidR="001F431A" w:rsidRDefault="001F431A">
            <w:pPr>
              <w:widowControl/>
              <w:jc w:val="center"/>
              <w:rPr>
                <w:rFonts w:ascii="仿宋_GB2312" w:eastAsia="仿宋_GB2312" w:hAnsi="仿宋_GB2312" w:cs="仿宋_GB2312" w:hint="eastAsia"/>
                <w:bCs/>
                <w:spacing w:val="20"/>
                <w:sz w:val="21"/>
                <w:szCs w:val="21"/>
              </w:rPr>
            </w:pPr>
          </w:p>
        </w:tc>
        <w:tc>
          <w:tcPr>
            <w:tcW w:w="610" w:type="pct"/>
            <w:tcBorders>
              <w:bottom w:val="single" w:sz="4" w:space="0" w:color="auto"/>
            </w:tcBorders>
            <w:vAlign w:val="center"/>
          </w:tcPr>
          <w:p w14:paraId="62A966E6" w14:textId="77777777" w:rsidR="001F431A" w:rsidRDefault="00000000">
            <w:pPr>
              <w:widowControl/>
              <w:jc w:val="center"/>
              <w:rPr>
                <w:rFonts w:ascii="仿宋_GB2312" w:eastAsia="仿宋_GB2312" w:hAnsi="仿宋_GB2312" w:cs="仿宋_GB2312" w:hint="eastAsia"/>
                <w:bCs/>
                <w:spacing w:val="20"/>
                <w:sz w:val="21"/>
                <w:szCs w:val="21"/>
              </w:rPr>
            </w:pPr>
            <w:r>
              <w:rPr>
                <w:rFonts w:ascii="仿宋_GB2312" w:eastAsia="仿宋_GB2312" w:hAnsi="仿宋_GB2312" w:cs="仿宋_GB2312" w:hint="eastAsia"/>
                <w:bCs/>
                <w:spacing w:val="20"/>
                <w:sz w:val="21"/>
                <w:szCs w:val="21"/>
              </w:rPr>
              <w:t>-</w:t>
            </w:r>
          </w:p>
        </w:tc>
      </w:tr>
    </w:tbl>
    <w:p w14:paraId="260FBA04" w14:textId="77777777" w:rsidR="001F431A" w:rsidRDefault="00000000">
      <w:pPr>
        <w:widowControl/>
        <w:spacing w:after="156" w:line="0" w:lineRule="atLeast"/>
        <w:jc w:val="center"/>
        <w:rPr>
          <w:rFonts w:ascii="黑体" w:eastAsia="黑体" w:hAnsi="黑体" w:cs="黑体" w:hint="eastAsia"/>
          <w:bCs/>
          <w:sz w:val="28"/>
          <w:szCs w:val="28"/>
        </w:rPr>
      </w:pPr>
      <w:r>
        <w:rPr>
          <w:rFonts w:ascii="黑体" w:eastAsia="黑体" w:hAnsi="黑体" w:cs="黑体" w:hint="eastAsia"/>
          <w:bCs/>
          <w:sz w:val="28"/>
          <w:szCs w:val="28"/>
        </w:rPr>
        <w:t>俄罗斯语言文化</w:t>
      </w:r>
      <w:proofErr w:type="gramStart"/>
      <w:r>
        <w:rPr>
          <w:rFonts w:ascii="黑体" w:eastAsia="黑体" w:hAnsi="黑体" w:cs="黑体" w:hint="eastAsia"/>
          <w:bCs/>
          <w:sz w:val="28"/>
          <w:szCs w:val="28"/>
        </w:rPr>
        <w:t>微专业</w:t>
      </w:r>
      <w:proofErr w:type="gramEnd"/>
      <w:r>
        <w:rPr>
          <w:rFonts w:ascii="黑体" w:eastAsia="黑体" w:hAnsi="黑体" w:cs="黑体" w:hint="eastAsia"/>
          <w:bCs/>
          <w:sz w:val="28"/>
          <w:szCs w:val="28"/>
        </w:rPr>
        <w:t>指导性教学计划进度表</w:t>
      </w:r>
    </w:p>
    <w:p w14:paraId="2BE0FAFA" w14:textId="77777777" w:rsidR="001F431A" w:rsidRDefault="00000000">
      <w:pPr>
        <w:widowControl/>
        <w:spacing w:line="360" w:lineRule="auto"/>
        <w:rPr>
          <w:rFonts w:ascii="仿宋_GB2312" w:eastAsia="仿宋_GB2312"/>
          <w:sz w:val="24"/>
          <w:szCs w:val="24"/>
        </w:rPr>
      </w:pPr>
      <w:r>
        <w:rPr>
          <w:rFonts w:hint="eastAsia"/>
          <w:bCs/>
          <w:sz w:val="24"/>
          <w:szCs w:val="24"/>
        </w:rPr>
        <w:t>备注：</w:t>
      </w:r>
      <w:r>
        <w:rPr>
          <w:rFonts w:ascii="仿宋_GB2312" w:eastAsia="仿宋_GB2312" w:hint="eastAsia"/>
          <w:sz w:val="24"/>
          <w:szCs w:val="24"/>
        </w:rPr>
        <w:t>“开课学期”根据实际开课学期填写2、3、4、5、6、7，“考核方式”填写考试、考查</w:t>
      </w:r>
      <w:r>
        <w:rPr>
          <w:rFonts w:ascii="宋体" w:hAnsi="宋体" w:cs="宋体" w:hint="eastAsia"/>
          <w:sz w:val="24"/>
          <w:szCs w:val="24"/>
        </w:rPr>
        <w:t>；“</w:t>
      </w:r>
      <w:r>
        <w:rPr>
          <w:rFonts w:ascii="仿宋_GB2312" w:eastAsia="仿宋_GB2312" w:hint="eastAsia"/>
          <w:sz w:val="24"/>
          <w:szCs w:val="24"/>
        </w:rPr>
        <w:t>课程性质</w:t>
      </w:r>
      <w:r>
        <w:rPr>
          <w:rFonts w:ascii="宋体" w:hAnsi="宋体" w:cs="宋体" w:hint="eastAsia"/>
          <w:sz w:val="24"/>
          <w:szCs w:val="24"/>
        </w:rPr>
        <w:t>”</w:t>
      </w:r>
      <w:r>
        <w:rPr>
          <w:rFonts w:ascii="仿宋_GB2312" w:eastAsia="仿宋_GB2312" w:hint="eastAsia"/>
          <w:sz w:val="24"/>
          <w:szCs w:val="24"/>
        </w:rPr>
        <w:t>填必修、选修；</w:t>
      </w:r>
    </w:p>
    <w:p w14:paraId="1BFA77E3" w14:textId="77777777" w:rsidR="001F431A" w:rsidRDefault="00000000">
      <w:pPr>
        <w:widowControl/>
        <w:spacing w:line="360" w:lineRule="auto"/>
        <w:jc w:val="left"/>
        <w:rPr>
          <w:rFonts w:ascii="黑体" w:eastAsia="黑体" w:hAnsi="黑体" w:cs="黑体" w:hint="eastAsia"/>
          <w:bCs/>
          <w:sz w:val="28"/>
          <w:szCs w:val="28"/>
        </w:rPr>
      </w:pPr>
      <w:r>
        <w:rPr>
          <w:rFonts w:ascii="黑体" w:eastAsia="黑体" w:hAnsi="黑体" w:cs="黑体" w:hint="eastAsia"/>
          <w:bCs/>
          <w:sz w:val="28"/>
          <w:szCs w:val="28"/>
        </w:rPr>
        <w:t>六、课程简介</w:t>
      </w:r>
    </w:p>
    <w:p w14:paraId="1C9C6B86" w14:textId="77777777" w:rsidR="001F431A" w:rsidRDefault="00000000">
      <w:pPr>
        <w:widowControl/>
        <w:spacing w:line="400" w:lineRule="exact"/>
        <w:ind w:firstLineChars="200" w:firstLine="560"/>
        <w:rPr>
          <w:rFonts w:ascii="仿宋_GB2312" w:eastAsia="仿宋_GB2312"/>
          <w:sz w:val="28"/>
          <w:szCs w:val="28"/>
        </w:rPr>
      </w:pPr>
      <w:r>
        <w:rPr>
          <w:rFonts w:ascii="仿宋_GB2312" w:eastAsia="仿宋_GB2312" w:hint="eastAsia"/>
          <w:sz w:val="28"/>
          <w:szCs w:val="28"/>
        </w:rPr>
        <w:t>对</w:t>
      </w:r>
      <w:proofErr w:type="gramStart"/>
      <w:r>
        <w:rPr>
          <w:rFonts w:ascii="仿宋_GB2312" w:eastAsia="仿宋_GB2312" w:hint="eastAsia"/>
          <w:sz w:val="28"/>
          <w:szCs w:val="28"/>
        </w:rPr>
        <w:t>本微专业拟</w:t>
      </w:r>
      <w:proofErr w:type="gramEnd"/>
      <w:r>
        <w:rPr>
          <w:rFonts w:ascii="仿宋_GB2312" w:eastAsia="仿宋_GB2312" w:hint="eastAsia"/>
          <w:sz w:val="28"/>
          <w:szCs w:val="28"/>
        </w:rPr>
        <w:t>开设的课程进行简要介绍，包括课程主要内容、课程教学设计等，每门课300字以内。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303"/>
        <w:gridCol w:w="7414"/>
      </w:tblGrid>
      <w:tr w:rsidR="001F431A" w14:paraId="295373B7" w14:textId="77777777">
        <w:trPr>
          <w:trHeight w:val="512"/>
          <w:jc w:val="center"/>
        </w:trPr>
        <w:tc>
          <w:tcPr>
            <w:tcW w:w="0" w:type="auto"/>
            <w:tcBorders>
              <w:top w:val="single" w:sz="4" w:space="0" w:color="auto"/>
            </w:tcBorders>
            <w:vAlign w:val="center"/>
          </w:tcPr>
          <w:p w14:paraId="23FABFF7" w14:textId="77777777" w:rsidR="001F431A" w:rsidRDefault="00000000">
            <w:pPr>
              <w:widowControl/>
              <w:jc w:val="center"/>
              <w:rPr>
                <w:rFonts w:ascii="黑体" w:eastAsia="黑体" w:hAnsi="黑体" w:cs="黑体" w:hint="eastAsia"/>
                <w:bCs/>
                <w:spacing w:val="20"/>
                <w:sz w:val="21"/>
                <w:szCs w:val="21"/>
              </w:rPr>
            </w:pPr>
            <w:r>
              <w:rPr>
                <w:rFonts w:ascii="黑体" w:eastAsia="黑体" w:hAnsi="黑体" w:cs="黑体" w:hint="eastAsia"/>
                <w:bCs/>
                <w:spacing w:val="20"/>
                <w:sz w:val="21"/>
                <w:szCs w:val="21"/>
              </w:rPr>
              <w:t>序号</w:t>
            </w:r>
          </w:p>
        </w:tc>
        <w:tc>
          <w:tcPr>
            <w:tcW w:w="1303" w:type="dxa"/>
            <w:tcBorders>
              <w:top w:val="single" w:sz="4" w:space="0" w:color="auto"/>
            </w:tcBorders>
            <w:vAlign w:val="center"/>
          </w:tcPr>
          <w:p w14:paraId="5300F9AD" w14:textId="77777777" w:rsidR="001F431A" w:rsidRDefault="00000000">
            <w:pPr>
              <w:widowControl/>
              <w:jc w:val="center"/>
              <w:rPr>
                <w:rFonts w:ascii="黑体" w:eastAsia="黑体" w:hAnsi="黑体" w:cs="黑体" w:hint="eastAsia"/>
                <w:bCs/>
                <w:spacing w:val="20"/>
                <w:sz w:val="21"/>
                <w:szCs w:val="21"/>
              </w:rPr>
            </w:pPr>
            <w:r>
              <w:rPr>
                <w:rFonts w:ascii="黑体" w:eastAsia="黑体" w:hAnsi="黑体" w:cs="黑体" w:hint="eastAsia"/>
                <w:bCs/>
                <w:spacing w:val="20"/>
                <w:sz w:val="21"/>
                <w:szCs w:val="21"/>
              </w:rPr>
              <w:t>课程名称</w:t>
            </w:r>
          </w:p>
        </w:tc>
        <w:tc>
          <w:tcPr>
            <w:tcW w:w="7414" w:type="dxa"/>
            <w:tcBorders>
              <w:top w:val="single" w:sz="4" w:space="0" w:color="auto"/>
              <w:bottom w:val="single" w:sz="4" w:space="0" w:color="auto"/>
            </w:tcBorders>
            <w:vAlign w:val="center"/>
          </w:tcPr>
          <w:p w14:paraId="005B8980" w14:textId="77777777" w:rsidR="001F431A" w:rsidRDefault="00000000">
            <w:pPr>
              <w:widowControl/>
              <w:jc w:val="center"/>
              <w:rPr>
                <w:rFonts w:ascii="黑体" w:eastAsia="黑体" w:hAnsi="黑体" w:cs="黑体" w:hint="eastAsia"/>
                <w:bCs/>
                <w:sz w:val="21"/>
                <w:szCs w:val="21"/>
              </w:rPr>
            </w:pPr>
            <w:r>
              <w:rPr>
                <w:rFonts w:ascii="黑体" w:eastAsia="黑体" w:hAnsi="黑体" w:cs="黑体" w:hint="eastAsia"/>
                <w:bCs/>
                <w:spacing w:val="20"/>
                <w:sz w:val="21"/>
                <w:szCs w:val="21"/>
              </w:rPr>
              <w:t>课程简介</w:t>
            </w:r>
          </w:p>
        </w:tc>
      </w:tr>
      <w:tr w:rsidR="001F431A" w14:paraId="094E39E5" w14:textId="77777777">
        <w:trPr>
          <w:trHeight w:hRule="exact" w:val="2362"/>
          <w:jc w:val="center"/>
        </w:trPr>
        <w:tc>
          <w:tcPr>
            <w:tcW w:w="0" w:type="auto"/>
            <w:vAlign w:val="center"/>
          </w:tcPr>
          <w:p w14:paraId="05C72216" w14:textId="77777777" w:rsidR="001F431A" w:rsidRPr="006D0A21" w:rsidRDefault="00000000" w:rsidP="006D0A21">
            <w:pPr>
              <w:widowControl/>
              <w:jc w:val="center"/>
              <w:rPr>
                <w:rFonts w:ascii="仿宋_GB2312" w:eastAsia="仿宋_GB2312" w:hAnsi="仿宋_GB2312" w:cs="仿宋_GB2312" w:hint="eastAsia"/>
                <w:bCs/>
                <w:sz w:val="18"/>
                <w:szCs w:val="18"/>
              </w:rPr>
            </w:pPr>
            <w:r w:rsidRPr="006D0A21">
              <w:rPr>
                <w:rFonts w:ascii="仿宋_GB2312" w:eastAsia="仿宋_GB2312" w:hAnsi="仿宋_GB2312" w:cs="仿宋_GB2312" w:hint="eastAsia"/>
                <w:bCs/>
                <w:sz w:val="18"/>
                <w:szCs w:val="18"/>
              </w:rPr>
              <w:lastRenderedPageBreak/>
              <w:t>1</w:t>
            </w:r>
          </w:p>
        </w:tc>
        <w:tc>
          <w:tcPr>
            <w:tcW w:w="1303" w:type="dxa"/>
            <w:vAlign w:val="center"/>
          </w:tcPr>
          <w:p w14:paraId="7CB97DB7" w14:textId="77777777" w:rsidR="001F431A" w:rsidRPr="006D0A21" w:rsidRDefault="00000000" w:rsidP="006D0A21">
            <w:pPr>
              <w:widowControl/>
              <w:jc w:val="center"/>
              <w:rPr>
                <w:rFonts w:ascii="仿宋_GB2312" w:eastAsia="仿宋_GB2312" w:hAnsi="仿宋_GB2312" w:cs="仿宋_GB2312" w:hint="eastAsia"/>
                <w:bCs/>
                <w:sz w:val="18"/>
                <w:szCs w:val="18"/>
              </w:rPr>
            </w:pPr>
            <w:r w:rsidRPr="006D0A21">
              <w:rPr>
                <w:rFonts w:ascii="仿宋_GB2312" w:eastAsia="仿宋_GB2312" w:hAnsi="仿宋_GB2312" w:cs="仿宋_GB2312" w:hint="eastAsia"/>
                <w:bCs/>
                <w:sz w:val="18"/>
                <w:szCs w:val="18"/>
              </w:rPr>
              <w:t>俄语入门1</w:t>
            </w:r>
          </w:p>
        </w:tc>
        <w:tc>
          <w:tcPr>
            <w:tcW w:w="7414" w:type="dxa"/>
            <w:tcBorders>
              <w:top w:val="single" w:sz="4" w:space="0" w:color="auto"/>
              <w:bottom w:val="single" w:sz="4" w:space="0" w:color="auto"/>
            </w:tcBorders>
            <w:vAlign w:val="center"/>
          </w:tcPr>
          <w:p w14:paraId="0D516C0C" w14:textId="77777777" w:rsidR="001F431A" w:rsidRPr="006D0A21" w:rsidRDefault="00000000" w:rsidP="006D0A21">
            <w:pPr>
              <w:pStyle w:val="a3"/>
              <w:widowControl/>
              <w:spacing w:before="0" w:beforeAutospacing="0" w:after="0" w:afterAutospacing="0"/>
              <w:rPr>
                <w:rFonts w:ascii="仿宋_GB2312" w:eastAsia="仿宋_GB2312" w:hAnsi="仿宋_GB2312" w:cs="仿宋_GB2312" w:hint="eastAsia"/>
                <w:bCs/>
                <w:sz w:val="18"/>
                <w:szCs w:val="18"/>
              </w:rPr>
            </w:pPr>
            <w:r w:rsidRPr="006D0A21">
              <w:rPr>
                <w:rFonts w:ascii="仿宋_GB2312" w:eastAsia="仿宋_GB2312" w:hAnsi="仿宋_GB2312" w:cs="仿宋_GB2312" w:hint="eastAsia"/>
                <w:bCs/>
                <w:sz w:val="18"/>
                <w:szCs w:val="18"/>
              </w:rPr>
              <w:t>《俄语入门1》课程安排在2026-2027学年第一学期。主要针对俄语专业零起点学生，通过语音、语法和综合应用三个模块推进：讲授俄语的发音、调型和文字书写规范；讲解基础语法框架，建立语言结构认知，打开俄语学习的窗口；开展情景对话与书写练习，实现知识向能力的初步转化，为从入门过渡到进行较深入的口笔</w:t>
            </w:r>
            <w:proofErr w:type="gramStart"/>
            <w:r w:rsidRPr="006D0A21">
              <w:rPr>
                <w:rFonts w:ascii="仿宋_GB2312" w:eastAsia="仿宋_GB2312" w:hAnsi="仿宋_GB2312" w:cs="仿宋_GB2312" w:hint="eastAsia"/>
                <w:bCs/>
                <w:sz w:val="18"/>
                <w:szCs w:val="18"/>
              </w:rPr>
              <w:t>语训练</w:t>
            </w:r>
            <w:proofErr w:type="gramEnd"/>
            <w:r w:rsidRPr="006D0A21">
              <w:rPr>
                <w:rFonts w:ascii="仿宋_GB2312" w:eastAsia="仿宋_GB2312" w:hAnsi="仿宋_GB2312" w:cs="仿宋_GB2312" w:hint="eastAsia"/>
                <w:bCs/>
                <w:sz w:val="18"/>
                <w:szCs w:val="18"/>
              </w:rPr>
              <w:t>打下坚实的基础。</w:t>
            </w:r>
          </w:p>
          <w:p w14:paraId="3F2640B4" w14:textId="77777777" w:rsidR="001F431A" w:rsidRPr="006D0A21" w:rsidRDefault="00000000" w:rsidP="006D0A21">
            <w:pPr>
              <w:pStyle w:val="a3"/>
              <w:widowControl/>
              <w:spacing w:before="0" w:beforeAutospacing="0" w:after="0" w:afterAutospacing="0"/>
              <w:rPr>
                <w:rFonts w:ascii="仿宋_GB2312" w:eastAsia="仿宋_GB2312" w:hAnsi="仿宋_GB2312" w:cs="仿宋_GB2312" w:hint="eastAsia"/>
                <w:bCs/>
                <w:sz w:val="18"/>
                <w:szCs w:val="18"/>
              </w:rPr>
            </w:pPr>
            <w:r w:rsidRPr="006D0A21">
              <w:rPr>
                <w:rFonts w:ascii="仿宋_GB2312" w:eastAsia="仿宋_GB2312" w:hAnsi="仿宋_GB2312" w:cs="仿宋_GB2312" w:hint="eastAsia"/>
                <w:bCs/>
                <w:sz w:val="18"/>
                <w:szCs w:val="18"/>
              </w:rPr>
              <w:t>教材及参考书：《走遍俄罗斯》1（第2版），安东诺娃等编，周海燕译，外语教学与研究出版社，2024年9月。</w:t>
            </w:r>
          </w:p>
          <w:p w14:paraId="321AC381" w14:textId="77777777" w:rsidR="001F431A" w:rsidRPr="006D0A21" w:rsidRDefault="001F431A" w:rsidP="006D0A21">
            <w:pPr>
              <w:widowControl/>
              <w:jc w:val="left"/>
              <w:rPr>
                <w:rFonts w:ascii="仿宋_GB2312" w:eastAsia="仿宋_GB2312" w:hAnsi="仿宋_GB2312" w:cs="仿宋_GB2312" w:hint="eastAsia"/>
                <w:bCs/>
                <w:sz w:val="18"/>
                <w:szCs w:val="18"/>
              </w:rPr>
            </w:pPr>
          </w:p>
          <w:p w14:paraId="1369234F" w14:textId="77777777" w:rsidR="001F431A" w:rsidRPr="006D0A21" w:rsidRDefault="001F431A" w:rsidP="006D0A21">
            <w:pPr>
              <w:widowControl/>
              <w:jc w:val="left"/>
              <w:rPr>
                <w:rFonts w:ascii="仿宋_GB2312" w:eastAsia="仿宋_GB2312" w:hAnsi="仿宋_GB2312" w:cs="仿宋_GB2312" w:hint="eastAsia"/>
                <w:bCs/>
                <w:sz w:val="18"/>
                <w:szCs w:val="18"/>
              </w:rPr>
            </w:pPr>
          </w:p>
        </w:tc>
      </w:tr>
      <w:tr w:rsidR="001F431A" w14:paraId="46D80272" w14:textId="77777777">
        <w:trPr>
          <w:trHeight w:hRule="exact" w:val="2329"/>
          <w:jc w:val="center"/>
        </w:trPr>
        <w:tc>
          <w:tcPr>
            <w:tcW w:w="0" w:type="auto"/>
            <w:vAlign w:val="center"/>
          </w:tcPr>
          <w:p w14:paraId="6F56B075" w14:textId="77777777" w:rsidR="001F431A" w:rsidRPr="006D0A21" w:rsidRDefault="00000000" w:rsidP="006D0A21">
            <w:pPr>
              <w:widowControl/>
              <w:jc w:val="center"/>
              <w:rPr>
                <w:rFonts w:ascii="仿宋_GB2312" w:eastAsia="仿宋_GB2312" w:hAnsi="仿宋_GB2312" w:cs="仿宋_GB2312" w:hint="eastAsia"/>
                <w:bCs/>
                <w:sz w:val="18"/>
                <w:szCs w:val="18"/>
              </w:rPr>
            </w:pPr>
            <w:r w:rsidRPr="006D0A21">
              <w:rPr>
                <w:rFonts w:ascii="仿宋_GB2312" w:eastAsia="仿宋_GB2312" w:hAnsi="仿宋_GB2312" w:cs="仿宋_GB2312" w:hint="eastAsia"/>
                <w:bCs/>
                <w:sz w:val="18"/>
                <w:szCs w:val="18"/>
              </w:rPr>
              <w:t>2</w:t>
            </w:r>
          </w:p>
        </w:tc>
        <w:tc>
          <w:tcPr>
            <w:tcW w:w="1303" w:type="dxa"/>
            <w:vAlign w:val="center"/>
          </w:tcPr>
          <w:p w14:paraId="2C428520" w14:textId="77777777" w:rsidR="001F431A" w:rsidRPr="006D0A21" w:rsidRDefault="00000000" w:rsidP="006D0A21">
            <w:pPr>
              <w:widowControl/>
              <w:jc w:val="center"/>
              <w:rPr>
                <w:rFonts w:ascii="仿宋_GB2312" w:eastAsia="仿宋_GB2312" w:hAnsi="仿宋_GB2312" w:cs="仿宋_GB2312" w:hint="eastAsia"/>
                <w:bCs/>
                <w:sz w:val="18"/>
                <w:szCs w:val="18"/>
              </w:rPr>
            </w:pPr>
            <w:r w:rsidRPr="006D0A21">
              <w:rPr>
                <w:rFonts w:ascii="仿宋_GB2312" w:eastAsia="仿宋_GB2312" w:hAnsi="仿宋_GB2312" w:cs="仿宋_GB2312" w:hint="eastAsia"/>
                <w:bCs/>
                <w:sz w:val="18"/>
                <w:szCs w:val="18"/>
              </w:rPr>
              <w:t>俄语入门2</w:t>
            </w:r>
          </w:p>
        </w:tc>
        <w:tc>
          <w:tcPr>
            <w:tcW w:w="7414" w:type="dxa"/>
            <w:tcBorders>
              <w:top w:val="single" w:sz="4" w:space="0" w:color="auto"/>
              <w:bottom w:val="single" w:sz="4" w:space="0" w:color="auto"/>
            </w:tcBorders>
            <w:vAlign w:val="center"/>
          </w:tcPr>
          <w:p w14:paraId="44CD0C0A" w14:textId="7DF425FA" w:rsidR="001F431A" w:rsidRPr="006D0A21" w:rsidRDefault="00000000" w:rsidP="006D0A21">
            <w:pPr>
              <w:pStyle w:val="a3"/>
              <w:widowControl/>
              <w:spacing w:before="0" w:beforeAutospacing="0" w:after="0" w:afterAutospacing="0"/>
              <w:rPr>
                <w:rFonts w:ascii="仿宋_GB2312" w:eastAsia="仿宋_GB2312" w:hAnsi="仿宋_GB2312" w:cs="仿宋_GB2312" w:hint="eastAsia"/>
                <w:bCs/>
                <w:sz w:val="18"/>
                <w:szCs w:val="18"/>
              </w:rPr>
            </w:pPr>
            <w:r w:rsidRPr="006D0A21">
              <w:rPr>
                <w:rFonts w:ascii="仿宋_GB2312" w:eastAsia="仿宋_GB2312" w:hAnsi="仿宋_GB2312" w:cs="仿宋_GB2312" w:hint="eastAsia"/>
                <w:bCs/>
                <w:sz w:val="18"/>
                <w:szCs w:val="18"/>
              </w:rPr>
              <w:t>《俄语入门2》课程安排在2026-2027学年第</w:t>
            </w:r>
            <w:r w:rsidR="006D0A21" w:rsidRPr="006D0A21">
              <w:rPr>
                <w:rFonts w:ascii="仿宋_GB2312" w:eastAsia="仿宋_GB2312" w:hAnsi="仿宋_GB2312" w:cs="仿宋_GB2312" w:hint="eastAsia"/>
                <w:bCs/>
                <w:sz w:val="18"/>
                <w:szCs w:val="18"/>
              </w:rPr>
              <w:t>二</w:t>
            </w:r>
            <w:r w:rsidRPr="006D0A21">
              <w:rPr>
                <w:rFonts w:ascii="仿宋_GB2312" w:eastAsia="仿宋_GB2312" w:hAnsi="仿宋_GB2312" w:cs="仿宋_GB2312" w:hint="eastAsia"/>
                <w:bCs/>
                <w:sz w:val="18"/>
                <w:szCs w:val="18"/>
              </w:rPr>
              <w:t>学期。该课程包含言语示例、语法、课文、家庭作业等部分，选用的教材打破了以往以语法为中心安排教学内容的惯例，语法的应用贴合实际的交际需求。所讲话题涉及国外生活的方方面面，学习内容包括俄罗斯习俗、城市和名胜古迹、名人生平、文学名篇及当代社会生活，多角度反映当代俄罗斯状况。</w:t>
            </w:r>
          </w:p>
          <w:p w14:paraId="7F2A7BA9" w14:textId="77777777" w:rsidR="001F431A" w:rsidRPr="006D0A21" w:rsidRDefault="00000000" w:rsidP="006D0A21">
            <w:pPr>
              <w:pStyle w:val="a3"/>
              <w:widowControl/>
              <w:spacing w:before="0" w:beforeAutospacing="0" w:after="0" w:afterAutospacing="0"/>
              <w:rPr>
                <w:rFonts w:ascii="仿宋_GB2312" w:eastAsia="仿宋_GB2312" w:hAnsi="仿宋_GB2312" w:cs="仿宋_GB2312" w:hint="eastAsia"/>
                <w:bCs/>
                <w:sz w:val="18"/>
                <w:szCs w:val="18"/>
              </w:rPr>
            </w:pPr>
            <w:r w:rsidRPr="006D0A21">
              <w:rPr>
                <w:rFonts w:ascii="仿宋_GB2312" w:eastAsia="仿宋_GB2312" w:hAnsi="仿宋_GB2312" w:cs="仿宋_GB2312" w:hint="eastAsia"/>
                <w:bCs/>
                <w:sz w:val="18"/>
                <w:szCs w:val="18"/>
              </w:rPr>
              <w:t>教材及参考书：《走遍俄罗斯》2（第2版），安东诺娃等编，外语教学与研究出版社，2024年8月。</w:t>
            </w:r>
          </w:p>
          <w:p w14:paraId="78A1BFC3" w14:textId="77777777" w:rsidR="001F431A" w:rsidRPr="006D0A21" w:rsidRDefault="001F431A" w:rsidP="006D0A21">
            <w:pPr>
              <w:widowControl/>
              <w:jc w:val="left"/>
              <w:rPr>
                <w:rFonts w:ascii="仿宋_GB2312" w:eastAsia="仿宋_GB2312" w:hAnsi="仿宋_GB2312" w:cs="仿宋_GB2312" w:hint="eastAsia"/>
                <w:bCs/>
                <w:sz w:val="18"/>
                <w:szCs w:val="18"/>
              </w:rPr>
            </w:pPr>
          </w:p>
          <w:p w14:paraId="2EBF1C61" w14:textId="77777777" w:rsidR="001F431A" w:rsidRPr="006D0A21" w:rsidRDefault="001F431A" w:rsidP="006D0A21">
            <w:pPr>
              <w:widowControl/>
              <w:jc w:val="left"/>
              <w:rPr>
                <w:rFonts w:ascii="仿宋_GB2312" w:eastAsia="仿宋_GB2312" w:hAnsi="仿宋_GB2312" w:cs="仿宋_GB2312" w:hint="eastAsia"/>
                <w:bCs/>
                <w:sz w:val="18"/>
                <w:szCs w:val="18"/>
              </w:rPr>
            </w:pPr>
          </w:p>
          <w:p w14:paraId="389BF047" w14:textId="77777777" w:rsidR="001F431A" w:rsidRPr="006D0A21" w:rsidRDefault="001F431A" w:rsidP="006D0A21">
            <w:pPr>
              <w:widowControl/>
              <w:jc w:val="left"/>
              <w:rPr>
                <w:rFonts w:ascii="仿宋_GB2312" w:eastAsia="仿宋_GB2312" w:hAnsi="仿宋_GB2312" w:cs="仿宋_GB2312" w:hint="eastAsia"/>
                <w:bCs/>
                <w:sz w:val="18"/>
                <w:szCs w:val="18"/>
              </w:rPr>
            </w:pPr>
          </w:p>
        </w:tc>
      </w:tr>
      <w:tr w:rsidR="001F431A" w14:paraId="07878813" w14:textId="77777777">
        <w:trPr>
          <w:trHeight w:hRule="exact" w:val="2949"/>
          <w:jc w:val="center"/>
        </w:trPr>
        <w:tc>
          <w:tcPr>
            <w:tcW w:w="0" w:type="auto"/>
            <w:vAlign w:val="center"/>
          </w:tcPr>
          <w:p w14:paraId="0BEF1DD9" w14:textId="77777777" w:rsidR="001F431A" w:rsidRPr="006D0A21" w:rsidRDefault="00000000" w:rsidP="006D0A21">
            <w:pPr>
              <w:widowControl/>
              <w:jc w:val="center"/>
              <w:rPr>
                <w:rFonts w:ascii="仿宋_GB2312" w:eastAsia="仿宋_GB2312" w:hAnsi="仿宋_GB2312" w:cs="仿宋_GB2312" w:hint="eastAsia"/>
                <w:bCs/>
                <w:sz w:val="18"/>
                <w:szCs w:val="18"/>
              </w:rPr>
            </w:pPr>
            <w:r w:rsidRPr="006D0A21">
              <w:rPr>
                <w:rFonts w:ascii="仿宋_GB2312" w:eastAsia="仿宋_GB2312" w:hAnsi="仿宋_GB2312" w:cs="仿宋_GB2312" w:hint="eastAsia"/>
                <w:bCs/>
                <w:sz w:val="18"/>
                <w:szCs w:val="18"/>
              </w:rPr>
              <w:t>3</w:t>
            </w:r>
          </w:p>
        </w:tc>
        <w:tc>
          <w:tcPr>
            <w:tcW w:w="1303" w:type="dxa"/>
            <w:vAlign w:val="center"/>
          </w:tcPr>
          <w:p w14:paraId="610999CC" w14:textId="77777777" w:rsidR="001F431A" w:rsidRPr="006D0A21" w:rsidRDefault="00000000" w:rsidP="006D0A21">
            <w:pPr>
              <w:widowControl/>
              <w:jc w:val="center"/>
              <w:rPr>
                <w:rFonts w:ascii="仿宋_GB2312" w:eastAsia="仿宋_GB2312" w:hAnsi="仿宋_GB2312" w:cs="仿宋_GB2312" w:hint="eastAsia"/>
                <w:bCs/>
                <w:sz w:val="18"/>
                <w:szCs w:val="18"/>
              </w:rPr>
            </w:pPr>
            <w:r w:rsidRPr="006D0A21">
              <w:rPr>
                <w:rFonts w:ascii="仿宋_GB2312" w:eastAsia="仿宋_GB2312" w:hAnsi="仿宋_GB2312" w:cs="仿宋_GB2312" w:hint="eastAsia"/>
                <w:bCs/>
                <w:sz w:val="18"/>
                <w:szCs w:val="18"/>
              </w:rPr>
              <w:t>俄罗斯经典文学赏析</w:t>
            </w:r>
          </w:p>
        </w:tc>
        <w:tc>
          <w:tcPr>
            <w:tcW w:w="7414" w:type="dxa"/>
            <w:tcBorders>
              <w:top w:val="single" w:sz="4" w:space="0" w:color="auto"/>
              <w:bottom w:val="single" w:sz="4" w:space="0" w:color="auto"/>
            </w:tcBorders>
            <w:vAlign w:val="center"/>
          </w:tcPr>
          <w:p w14:paraId="6872095A" w14:textId="77777777" w:rsidR="001F431A" w:rsidRPr="006D0A21" w:rsidRDefault="00000000" w:rsidP="006D0A21">
            <w:pPr>
              <w:pStyle w:val="a3"/>
              <w:widowControl/>
              <w:spacing w:before="0" w:beforeAutospacing="0" w:after="0" w:afterAutospacing="0"/>
              <w:rPr>
                <w:rFonts w:ascii="仿宋_GB2312" w:eastAsia="仿宋_GB2312" w:hAnsi="仿宋_GB2312" w:cs="仿宋_GB2312" w:hint="eastAsia"/>
                <w:bCs/>
                <w:sz w:val="18"/>
                <w:szCs w:val="18"/>
              </w:rPr>
            </w:pPr>
            <w:r w:rsidRPr="006D0A21">
              <w:rPr>
                <w:sz w:val="18"/>
                <w:szCs w:val="18"/>
              </w:rPr>
              <w:t>《</w:t>
            </w:r>
            <w:r w:rsidRPr="006D0A21">
              <w:rPr>
                <w:rFonts w:ascii="仿宋_GB2312" w:eastAsia="仿宋_GB2312" w:hAnsi="仿宋_GB2312" w:cs="仿宋_GB2312" w:hint="eastAsia"/>
                <w:bCs/>
                <w:sz w:val="18"/>
                <w:szCs w:val="18"/>
              </w:rPr>
              <w:t>俄罗斯经典文学赏析》课程安排在2026-2027学年第一学期。</w:t>
            </w:r>
            <w:r w:rsidRPr="006D0A21">
              <w:rPr>
                <w:rFonts w:ascii="仿宋_GB2312" w:eastAsia="仿宋_GB2312" w:hAnsi="仿宋_GB2312" w:cs="仿宋_GB2312"/>
                <w:bCs/>
                <w:sz w:val="18"/>
                <w:szCs w:val="18"/>
              </w:rPr>
              <w:t>课程以俄罗斯文学发展脉络为主线，选取普希金、托尔斯泰、契诃夫等作家的经典作品片段，系统梳理自基辅罗斯至苏联时期文学的风格演变与精神内核。</w:t>
            </w:r>
          </w:p>
          <w:p w14:paraId="774AAE3F" w14:textId="77777777" w:rsidR="001F431A" w:rsidRPr="006D0A21" w:rsidRDefault="00000000" w:rsidP="006D0A21">
            <w:pPr>
              <w:pStyle w:val="a3"/>
              <w:widowControl/>
              <w:spacing w:before="0" w:beforeAutospacing="0" w:after="0" w:afterAutospacing="0"/>
              <w:rPr>
                <w:rFonts w:ascii="仿宋_GB2312" w:eastAsia="仿宋_GB2312" w:hAnsi="仿宋_GB2312" w:cs="仿宋_GB2312" w:hint="eastAsia"/>
                <w:bCs/>
                <w:sz w:val="18"/>
                <w:szCs w:val="18"/>
              </w:rPr>
            </w:pPr>
            <w:r w:rsidRPr="006D0A21">
              <w:rPr>
                <w:rFonts w:ascii="仿宋_GB2312" w:eastAsia="仿宋_GB2312" w:hAnsi="仿宋_GB2312" w:cs="仿宋_GB2312"/>
                <w:bCs/>
                <w:sz w:val="18"/>
                <w:szCs w:val="18"/>
              </w:rPr>
              <w:t>教学注重结合时代背景解读文本思想，弱化学术化精读，引导学生从个人体验出发，感悟文学中的人文价值与民族性格，并理解其描绘的社会图景。通过中俄文学在人性、社会关怀等方面的对比，搭建</w:t>
            </w:r>
            <w:proofErr w:type="gramStart"/>
            <w:r w:rsidRPr="006D0A21">
              <w:rPr>
                <w:rFonts w:ascii="仿宋_GB2312" w:eastAsia="仿宋_GB2312" w:hAnsi="仿宋_GB2312" w:cs="仿宋_GB2312"/>
                <w:bCs/>
                <w:sz w:val="18"/>
                <w:szCs w:val="18"/>
              </w:rPr>
              <w:t>文明互鉴的</w:t>
            </w:r>
            <w:proofErr w:type="gramEnd"/>
            <w:r w:rsidRPr="006D0A21">
              <w:rPr>
                <w:rFonts w:ascii="仿宋_GB2312" w:eastAsia="仿宋_GB2312" w:hAnsi="仿宋_GB2312" w:cs="仿宋_GB2312"/>
                <w:bCs/>
                <w:sz w:val="18"/>
                <w:szCs w:val="18"/>
              </w:rPr>
              <w:t>桥梁，使学生既领会俄罗斯文学的文化厚度，也增强对中华优秀传统文化的认同。</w:t>
            </w:r>
          </w:p>
          <w:p w14:paraId="728EC4F6" w14:textId="77777777" w:rsidR="001F431A" w:rsidRPr="006D0A21" w:rsidRDefault="00000000" w:rsidP="006D0A21">
            <w:pPr>
              <w:pStyle w:val="a3"/>
              <w:widowControl/>
              <w:spacing w:before="0" w:beforeAutospacing="0" w:after="0" w:afterAutospacing="0"/>
              <w:rPr>
                <w:rFonts w:ascii="仿宋_GB2312" w:eastAsia="仿宋_GB2312" w:hAnsi="仿宋_GB2312" w:cs="仿宋_GB2312" w:hint="eastAsia"/>
                <w:bCs/>
                <w:sz w:val="18"/>
                <w:szCs w:val="18"/>
              </w:rPr>
            </w:pPr>
            <w:r w:rsidRPr="006D0A21">
              <w:rPr>
                <w:rFonts w:ascii="仿宋_GB2312" w:eastAsia="仿宋_GB2312" w:hAnsi="仿宋_GB2312" w:cs="仿宋_GB2312" w:hint="eastAsia"/>
                <w:bCs/>
                <w:sz w:val="18"/>
                <w:szCs w:val="18"/>
              </w:rPr>
              <w:t>教材及参考书：《俄罗斯经典文学作品欣赏》，朱少华编著，安徽人民出版社，2008年。</w:t>
            </w:r>
          </w:p>
          <w:p w14:paraId="26BBE5EB" w14:textId="77777777" w:rsidR="001F431A" w:rsidRPr="006D0A21" w:rsidRDefault="001F431A" w:rsidP="006D0A21">
            <w:pPr>
              <w:widowControl/>
              <w:jc w:val="left"/>
              <w:rPr>
                <w:rFonts w:ascii="仿宋_GB2312" w:eastAsia="仿宋_GB2312" w:hAnsi="仿宋_GB2312" w:cs="仿宋_GB2312" w:hint="eastAsia"/>
                <w:bCs/>
                <w:sz w:val="18"/>
                <w:szCs w:val="18"/>
              </w:rPr>
            </w:pPr>
          </w:p>
          <w:p w14:paraId="3B6E47B8" w14:textId="77777777" w:rsidR="001F431A" w:rsidRPr="006D0A21" w:rsidRDefault="001F431A" w:rsidP="006D0A21">
            <w:pPr>
              <w:widowControl/>
              <w:jc w:val="left"/>
              <w:rPr>
                <w:rFonts w:ascii="仿宋_GB2312" w:eastAsia="仿宋_GB2312" w:hAnsi="仿宋_GB2312" w:cs="仿宋_GB2312" w:hint="eastAsia"/>
                <w:bCs/>
                <w:sz w:val="18"/>
                <w:szCs w:val="18"/>
              </w:rPr>
            </w:pPr>
          </w:p>
          <w:p w14:paraId="10E0A370" w14:textId="77777777" w:rsidR="001F431A" w:rsidRPr="006D0A21" w:rsidRDefault="001F431A" w:rsidP="006D0A21">
            <w:pPr>
              <w:widowControl/>
              <w:jc w:val="left"/>
              <w:rPr>
                <w:rFonts w:ascii="仿宋_GB2312" w:eastAsia="仿宋_GB2312" w:hAnsi="仿宋_GB2312" w:cs="仿宋_GB2312" w:hint="eastAsia"/>
                <w:bCs/>
                <w:sz w:val="18"/>
                <w:szCs w:val="18"/>
              </w:rPr>
            </w:pPr>
          </w:p>
        </w:tc>
      </w:tr>
      <w:tr w:rsidR="001F431A" w14:paraId="070D6DA1" w14:textId="77777777">
        <w:trPr>
          <w:trHeight w:hRule="exact" w:val="2954"/>
          <w:jc w:val="center"/>
        </w:trPr>
        <w:tc>
          <w:tcPr>
            <w:tcW w:w="0" w:type="auto"/>
            <w:vAlign w:val="center"/>
          </w:tcPr>
          <w:p w14:paraId="3BD08FA6" w14:textId="77777777" w:rsidR="001F431A" w:rsidRPr="006D0A21" w:rsidRDefault="00000000" w:rsidP="006D0A21">
            <w:pPr>
              <w:widowControl/>
              <w:jc w:val="center"/>
              <w:rPr>
                <w:rFonts w:ascii="仿宋_GB2312" w:eastAsia="仿宋_GB2312" w:hAnsi="仿宋_GB2312" w:cs="仿宋_GB2312" w:hint="eastAsia"/>
                <w:bCs/>
                <w:sz w:val="18"/>
                <w:szCs w:val="18"/>
              </w:rPr>
            </w:pPr>
            <w:r w:rsidRPr="006D0A21">
              <w:rPr>
                <w:rFonts w:ascii="仿宋_GB2312" w:eastAsia="仿宋_GB2312" w:hAnsi="仿宋_GB2312" w:cs="仿宋_GB2312" w:hint="eastAsia"/>
                <w:bCs/>
                <w:sz w:val="18"/>
                <w:szCs w:val="18"/>
              </w:rPr>
              <w:t>4</w:t>
            </w:r>
          </w:p>
        </w:tc>
        <w:tc>
          <w:tcPr>
            <w:tcW w:w="1303" w:type="dxa"/>
            <w:vAlign w:val="center"/>
          </w:tcPr>
          <w:p w14:paraId="514217D3" w14:textId="77777777" w:rsidR="001F431A" w:rsidRPr="006D0A21" w:rsidRDefault="00000000" w:rsidP="006D0A21">
            <w:pPr>
              <w:widowControl/>
              <w:jc w:val="center"/>
              <w:rPr>
                <w:rFonts w:ascii="仿宋_GB2312" w:eastAsia="仿宋_GB2312" w:hAnsi="仿宋_GB2312" w:cs="仿宋_GB2312" w:hint="eastAsia"/>
                <w:bCs/>
                <w:sz w:val="18"/>
                <w:szCs w:val="18"/>
              </w:rPr>
            </w:pPr>
            <w:r w:rsidRPr="006D0A21">
              <w:rPr>
                <w:rFonts w:ascii="仿宋_GB2312" w:eastAsia="仿宋_GB2312" w:hAnsi="仿宋_GB2312" w:cs="仿宋_GB2312" w:hint="eastAsia"/>
                <w:bCs/>
                <w:sz w:val="18"/>
                <w:szCs w:val="18"/>
              </w:rPr>
              <w:t>俄罗斯艺术史</w:t>
            </w:r>
          </w:p>
        </w:tc>
        <w:tc>
          <w:tcPr>
            <w:tcW w:w="7414" w:type="dxa"/>
            <w:tcBorders>
              <w:top w:val="single" w:sz="4" w:space="0" w:color="auto"/>
              <w:bottom w:val="single" w:sz="4" w:space="0" w:color="auto"/>
            </w:tcBorders>
            <w:vAlign w:val="center"/>
          </w:tcPr>
          <w:p w14:paraId="67C57CD3" w14:textId="77777777" w:rsidR="001F431A" w:rsidRPr="006D0A21" w:rsidRDefault="00000000" w:rsidP="006D0A21">
            <w:pPr>
              <w:pStyle w:val="a3"/>
              <w:widowControl/>
              <w:spacing w:before="0" w:beforeAutospacing="0" w:after="0" w:afterAutospacing="0"/>
              <w:rPr>
                <w:rFonts w:ascii="仿宋_GB2312" w:eastAsia="仿宋_GB2312" w:hAnsi="仿宋_GB2312" w:cs="仿宋_GB2312" w:hint="eastAsia"/>
                <w:bCs/>
                <w:sz w:val="18"/>
                <w:szCs w:val="18"/>
              </w:rPr>
            </w:pPr>
            <w:r w:rsidRPr="006D0A21">
              <w:rPr>
                <w:rFonts w:ascii="仿宋_GB2312" w:eastAsia="仿宋_GB2312" w:hAnsi="仿宋_GB2312" w:cs="仿宋_GB2312"/>
                <w:bCs/>
                <w:sz w:val="18"/>
                <w:szCs w:val="18"/>
              </w:rPr>
              <w:t>《</w:t>
            </w:r>
            <w:r w:rsidRPr="006D0A21">
              <w:rPr>
                <w:rFonts w:ascii="仿宋_GB2312" w:eastAsia="仿宋_GB2312" w:hAnsi="仿宋_GB2312" w:cs="仿宋_GB2312" w:hint="eastAsia"/>
                <w:bCs/>
                <w:sz w:val="18"/>
                <w:szCs w:val="18"/>
              </w:rPr>
              <w:t>俄罗斯艺术史》课程安排在2026-2027学年第二学期。</w:t>
            </w:r>
            <w:r w:rsidRPr="006D0A21">
              <w:rPr>
                <w:rFonts w:ascii="仿宋_GB2312" w:eastAsia="仿宋_GB2312" w:hAnsi="仿宋_GB2312" w:cs="仿宋_GB2312"/>
                <w:bCs/>
                <w:sz w:val="18"/>
                <w:szCs w:val="18"/>
              </w:rPr>
              <w:t>本课程以俄罗斯艺术发展脉络为主线，系统介绍其音乐、舞蹈、美术与建筑经典。内容涵盖从古典到现代的代表性作品，如柴可夫斯基《天鹅湖》；同时梳理俄罗斯从古代罗斯建筑到巡回画派、苏联及当代的美术建筑风格演变。。</w:t>
            </w:r>
          </w:p>
          <w:p w14:paraId="62895124" w14:textId="77777777" w:rsidR="001F431A" w:rsidRPr="006D0A21" w:rsidRDefault="00000000" w:rsidP="006D0A21">
            <w:pPr>
              <w:pStyle w:val="a3"/>
              <w:widowControl/>
              <w:spacing w:before="0" w:beforeAutospacing="0" w:after="0" w:afterAutospacing="0"/>
              <w:rPr>
                <w:rFonts w:ascii="仿宋_GB2312" w:eastAsia="仿宋_GB2312" w:hAnsi="仿宋_GB2312" w:cs="仿宋_GB2312" w:hint="eastAsia"/>
                <w:bCs/>
                <w:sz w:val="18"/>
                <w:szCs w:val="18"/>
              </w:rPr>
            </w:pPr>
            <w:r w:rsidRPr="006D0A21">
              <w:rPr>
                <w:rFonts w:ascii="仿宋_GB2312" w:eastAsia="仿宋_GB2312" w:hAnsi="仿宋_GB2312" w:cs="仿宋_GB2312"/>
                <w:bCs/>
                <w:sz w:val="18"/>
                <w:szCs w:val="18"/>
              </w:rPr>
              <w:t>课程侧重结合历史背景解读作品，引导学生在轻松氛围中理解艺术内涵。通过中俄艺术对比</w:t>
            </w:r>
            <w:proofErr w:type="gramStart"/>
            <w:r w:rsidRPr="006D0A21">
              <w:rPr>
                <w:rFonts w:ascii="仿宋_GB2312" w:eastAsia="仿宋_GB2312" w:hAnsi="仿宋_GB2312" w:cs="仿宋_GB2312"/>
                <w:bCs/>
                <w:sz w:val="18"/>
                <w:szCs w:val="18"/>
              </w:rPr>
              <w:t>与互鉴分析</w:t>
            </w:r>
            <w:proofErr w:type="gramEnd"/>
            <w:r w:rsidRPr="006D0A21">
              <w:rPr>
                <w:rFonts w:ascii="仿宋_GB2312" w:eastAsia="仿宋_GB2312" w:hAnsi="仿宋_GB2312" w:cs="仿宋_GB2312"/>
                <w:bCs/>
                <w:sz w:val="18"/>
                <w:szCs w:val="18"/>
              </w:rPr>
              <w:t>，揭示共同的人文追求，帮助学生树立文明</w:t>
            </w:r>
            <w:proofErr w:type="gramStart"/>
            <w:r w:rsidRPr="006D0A21">
              <w:rPr>
                <w:rFonts w:ascii="仿宋_GB2312" w:eastAsia="仿宋_GB2312" w:hAnsi="仿宋_GB2312" w:cs="仿宋_GB2312"/>
                <w:bCs/>
                <w:sz w:val="18"/>
                <w:szCs w:val="18"/>
              </w:rPr>
              <w:t>交流互鉴观念</w:t>
            </w:r>
            <w:proofErr w:type="gramEnd"/>
            <w:r w:rsidRPr="006D0A21">
              <w:rPr>
                <w:rFonts w:ascii="仿宋_GB2312" w:eastAsia="仿宋_GB2312" w:hAnsi="仿宋_GB2312" w:cs="仿宋_GB2312"/>
                <w:bCs/>
                <w:sz w:val="18"/>
                <w:szCs w:val="18"/>
              </w:rPr>
              <w:t>，增强文化自信，拓展国际视野。</w:t>
            </w:r>
          </w:p>
          <w:p w14:paraId="2D713C9E" w14:textId="77777777" w:rsidR="001F431A" w:rsidRPr="006D0A21" w:rsidRDefault="00000000" w:rsidP="006D0A21">
            <w:pPr>
              <w:pStyle w:val="a3"/>
              <w:widowControl/>
              <w:spacing w:before="0" w:beforeAutospacing="0" w:after="0" w:afterAutospacing="0"/>
              <w:rPr>
                <w:rFonts w:ascii="仿宋_GB2312" w:eastAsia="仿宋_GB2312" w:hAnsi="仿宋_GB2312" w:cs="仿宋_GB2312" w:hint="eastAsia"/>
                <w:bCs/>
                <w:sz w:val="18"/>
                <w:szCs w:val="18"/>
              </w:rPr>
            </w:pPr>
            <w:r w:rsidRPr="006D0A21">
              <w:rPr>
                <w:rFonts w:ascii="仿宋_GB2312" w:eastAsia="仿宋_GB2312" w:hAnsi="仿宋_GB2312" w:cs="仿宋_GB2312" w:hint="eastAsia"/>
                <w:bCs/>
                <w:sz w:val="18"/>
                <w:szCs w:val="18"/>
              </w:rPr>
              <w:t>教材及参考书：《西方音乐史略》，李应华主编，人民音乐出版社，1988年10月。</w:t>
            </w:r>
            <w:r w:rsidRPr="006D0A21">
              <w:rPr>
                <w:rFonts w:ascii="仿宋_GB2312" w:eastAsia="仿宋_GB2312" w:hAnsi="仿宋_GB2312" w:cs="仿宋_GB2312"/>
                <w:bCs/>
                <w:sz w:val="18"/>
                <w:szCs w:val="18"/>
              </w:rPr>
              <w:t>《</w:t>
            </w:r>
            <w:r w:rsidRPr="006D0A21">
              <w:rPr>
                <w:rFonts w:ascii="仿宋_GB2312" w:eastAsia="仿宋_GB2312" w:hAnsi="仿宋_GB2312" w:cs="仿宋_GB2312" w:hint="eastAsia"/>
                <w:bCs/>
                <w:sz w:val="18"/>
                <w:szCs w:val="18"/>
              </w:rPr>
              <w:t>俄罗斯美术史</w:t>
            </w:r>
            <w:r w:rsidRPr="006D0A21">
              <w:rPr>
                <w:rFonts w:ascii="仿宋_GB2312" w:eastAsia="仿宋_GB2312" w:hAnsi="仿宋_GB2312" w:cs="仿宋_GB2312"/>
                <w:bCs/>
                <w:sz w:val="18"/>
                <w:szCs w:val="18"/>
              </w:rPr>
              <w:t>》，</w:t>
            </w:r>
            <w:r w:rsidRPr="006D0A21">
              <w:rPr>
                <w:rFonts w:ascii="仿宋_GB2312" w:eastAsia="仿宋_GB2312" w:hAnsi="仿宋_GB2312" w:cs="仿宋_GB2312" w:hint="eastAsia"/>
                <w:bCs/>
                <w:sz w:val="18"/>
                <w:szCs w:val="18"/>
              </w:rPr>
              <w:t>奚静之</w:t>
            </w:r>
            <w:r w:rsidRPr="006D0A21">
              <w:rPr>
                <w:rFonts w:ascii="仿宋_GB2312" w:eastAsia="仿宋_GB2312" w:hAnsi="仿宋_GB2312" w:cs="仿宋_GB2312"/>
                <w:bCs/>
                <w:sz w:val="18"/>
                <w:szCs w:val="18"/>
              </w:rPr>
              <w:t>主编，</w:t>
            </w:r>
            <w:r w:rsidRPr="006D0A21">
              <w:rPr>
                <w:rFonts w:ascii="仿宋_GB2312" w:eastAsia="仿宋_GB2312" w:hAnsi="仿宋_GB2312" w:cs="仿宋_GB2312" w:hint="eastAsia"/>
                <w:bCs/>
                <w:sz w:val="18"/>
                <w:szCs w:val="18"/>
              </w:rPr>
              <w:t>人民美术</w:t>
            </w:r>
            <w:r w:rsidRPr="006D0A21">
              <w:rPr>
                <w:rFonts w:ascii="仿宋_GB2312" w:eastAsia="仿宋_GB2312" w:hAnsi="仿宋_GB2312" w:cs="仿宋_GB2312"/>
                <w:bCs/>
                <w:sz w:val="18"/>
                <w:szCs w:val="18"/>
              </w:rPr>
              <w:t>出版社，</w:t>
            </w:r>
            <w:r w:rsidRPr="006D0A21">
              <w:rPr>
                <w:rFonts w:ascii="仿宋_GB2312" w:eastAsia="仿宋_GB2312" w:hAnsi="仿宋_GB2312" w:cs="仿宋_GB2312" w:hint="eastAsia"/>
                <w:bCs/>
                <w:sz w:val="18"/>
                <w:szCs w:val="18"/>
              </w:rPr>
              <w:t>1992年</w:t>
            </w:r>
            <w:r w:rsidRPr="006D0A21">
              <w:rPr>
                <w:rFonts w:ascii="仿宋_GB2312" w:eastAsia="仿宋_GB2312" w:hAnsi="仿宋_GB2312" w:cs="仿宋_GB2312"/>
                <w:bCs/>
                <w:sz w:val="18"/>
                <w:szCs w:val="18"/>
              </w:rPr>
              <w:t>。</w:t>
            </w:r>
          </w:p>
          <w:p w14:paraId="1F61B814" w14:textId="77777777" w:rsidR="001F431A" w:rsidRPr="006D0A21" w:rsidRDefault="001F431A" w:rsidP="006D0A21">
            <w:pPr>
              <w:widowControl/>
              <w:jc w:val="left"/>
              <w:rPr>
                <w:rFonts w:ascii="仿宋_GB2312" w:eastAsia="仿宋_GB2312" w:hAnsi="仿宋_GB2312" w:cs="仿宋_GB2312" w:hint="eastAsia"/>
                <w:bCs/>
                <w:sz w:val="18"/>
                <w:szCs w:val="18"/>
              </w:rPr>
            </w:pPr>
          </w:p>
        </w:tc>
      </w:tr>
      <w:tr w:rsidR="001F431A" w14:paraId="1D179230" w14:textId="77777777">
        <w:trPr>
          <w:trHeight w:hRule="exact" w:val="3229"/>
          <w:jc w:val="center"/>
        </w:trPr>
        <w:tc>
          <w:tcPr>
            <w:tcW w:w="0" w:type="auto"/>
            <w:vAlign w:val="center"/>
          </w:tcPr>
          <w:p w14:paraId="00DFAFF9" w14:textId="77777777" w:rsidR="001F431A" w:rsidRPr="006D0A21" w:rsidRDefault="00000000" w:rsidP="006D0A21">
            <w:pPr>
              <w:widowControl/>
              <w:jc w:val="center"/>
              <w:rPr>
                <w:rFonts w:ascii="仿宋_GB2312" w:eastAsia="仿宋_GB2312" w:hAnsi="仿宋_GB2312" w:cs="仿宋_GB2312" w:hint="eastAsia"/>
                <w:bCs/>
                <w:sz w:val="18"/>
                <w:szCs w:val="18"/>
              </w:rPr>
            </w:pPr>
            <w:r w:rsidRPr="006D0A21">
              <w:rPr>
                <w:rFonts w:ascii="仿宋_GB2312" w:eastAsia="仿宋_GB2312" w:hAnsi="仿宋_GB2312" w:cs="仿宋_GB2312" w:hint="eastAsia"/>
                <w:bCs/>
                <w:sz w:val="18"/>
                <w:szCs w:val="18"/>
              </w:rPr>
              <w:t>5</w:t>
            </w:r>
          </w:p>
        </w:tc>
        <w:tc>
          <w:tcPr>
            <w:tcW w:w="1303" w:type="dxa"/>
            <w:vAlign w:val="center"/>
          </w:tcPr>
          <w:p w14:paraId="444EB702" w14:textId="77777777" w:rsidR="001F431A" w:rsidRPr="006D0A21" w:rsidRDefault="00000000" w:rsidP="006D0A21">
            <w:pPr>
              <w:widowControl/>
              <w:jc w:val="center"/>
              <w:rPr>
                <w:rFonts w:ascii="仿宋_GB2312" w:eastAsia="仿宋_GB2312" w:hAnsi="仿宋_GB2312" w:cs="仿宋_GB2312" w:hint="eastAsia"/>
                <w:bCs/>
                <w:sz w:val="18"/>
                <w:szCs w:val="18"/>
                <w:lang w:bidi="ar"/>
              </w:rPr>
            </w:pPr>
            <w:r w:rsidRPr="006D0A21">
              <w:rPr>
                <w:rFonts w:ascii="仿宋_GB2312" w:eastAsia="仿宋_GB2312" w:hAnsi="仿宋_GB2312" w:cs="仿宋_GB2312" w:hint="eastAsia"/>
                <w:bCs/>
                <w:sz w:val="18"/>
                <w:szCs w:val="18"/>
                <w:lang w:bidi="ar"/>
              </w:rPr>
              <w:t>俄罗斯国情及社会文化</w:t>
            </w:r>
          </w:p>
        </w:tc>
        <w:tc>
          <w:tcPr>
            <w:tcW w:w="7414" w:type="dxa"/>
            <w:tcBorders>
              <w:top w:val="single" w:sz="4" w:space="0" w:color="auto"/>
              <w:bottom w:val="single" w:sz="4" w:space="0" w:color="auto"/>
            </w:tcBorders>
            <w:vAlign w:val="center"/>
          </w:tcPr>
          <w:p w14:paraId="70FD1349" w14:textId="77777777" w:rsidR="001F431A" w:rsidRPr="006D0A21" w:rsidRDefault="00000000" w:rsidP="006D0A21">
            <w:pPr>
              <w:pStyle w:val="a3"/>
              <w:widowControl/>
              <w:spacing w:before="0" w:beforeAutospacing="0" w:after="0" w:afterAutospacing="0"/>
              <w:rPr>
                <w:rFonts w:ascii="仿宋_GB2312" w:eastAsia="仿宋_GB2312" w:hAnsi="仿宋_GB2312" w:cs="仿宋_GB2312" w:hint="eastAsia"/>
                <w:bCs/>
                <w:sz w:val="18"/>
                <w:szCs w:val="18"/>
              </w:rPr>
            </w:pPr>
            <w:r w:rsidRPr="006D0A21">
              <w:rPr>
                <w:rFonts w:ascii="仿宋_GB2312" w:eastAsia="仿宋_GB2312" w:hAnsi="仿宋_GB2312" w:cs="仿宋_GB2312"/>
                <w:bCs/>
                <w:sz w:val="18"/>
                <w:szCs w:val="18"/>
                <w:lang w:bidi="ar"/>
              </w:rPr>
              <w:t>《</w:t>
            </w:r>
            <w:r w:rsidRPr="006D0A21">
              <w:rPr>
                <w:rFonts w:ascii="仿宋_GB2312" w:eastAsia="仿宋_GB2312" w:hAnsi="仿宋_GB2312" w:cs="仿宋_GB2312" w:hint="eastAsia"/>
                <w:bCs/>
                <w:sz w:val="18"/>
                <w:szCs w:val="18"/>
                <w:lang w:bidi="ar"/>
              </w:rPr>
              <w:t>俄罗斯艺术史》课程安排在2026-2027学年第二学期。</w:t>
            </w:r>
            <w:r w:rsidRPr="006D0A21">
              <w:rPr>
                <w:rFonts w:ascii="仿宋_GB2312" w:eastAsia="仿宋_GB2312" w:hAnsi="仿宋_GB2312" w:cs="仿宋_GB2312"/>
                <w:bCs/>
                <w:sz w:val="18"/>
                <w:szCs w:val="18"/>
                <w:lang w:bidi="ar"/>
              </w:rPr>
              <w:t>本课程以俄罗斯国情与文化为双主线，系统解析其地理、政治、经济、外交等国情要素，并深入探讨从东斯拉夫</w:t>
            </w:r>
            <w:proofErr w:type="gramStart"/>
            <w:r w:rsidRPr="006D0A21">
              <w:rPr>
                <w:rFonts w:ascii="仿宋_GB2312" w:eastAsia="仿宋_GB2312" w:hAnsi="仿宋_GB2312" w:cs="仿宋_GB2312"/>
                <w:bCs/>
                <w:sz w:val="18"/>
                <w:szCs w:val="18"/>
                <w:lang w:bidi="ar"/>
              </w:rPr>
              <w:t>文明至</w:t>
            </w:r>
            <w:proofErr w:type="gramEnd"/>
            <w:r w:rsidRPr="006D0A21">
              <w:rPr>
                <w:rFonts w:ascii="仿宋_GB2312" w:eastAsia="仿宋_GB2312" w:hAnsi="仿宋_GB2312" w:cs="仿宋_GB2312"/>
                <w:bCs/>
                <w:sz w:val="18"/>
                <w:szCs w:val="18"/>
                <w:lang w:bidi="ar"/>
              </w:rPr>
              <w:t>当代的文化演进脉络。内容涵盖东正教传统、经典文艺、民俗礼仪及社会价值观等核心模块，立体呈现俄罗斯多元面貌。</w:t>
            </w:r>
          </w:p>
          <w:p w14:paraId="109C4AC2" w14:textId="77777777" w:rsidR="001F431A" w:rsidRPr="006D0A21" w:rsidRDefault="00000000" w:rsidP="006D0A21">
            <w:pPr>
              <w:pStyle w:val="a3"/>
              <w:widowControl/>
              <w:spacing w:before="0" w:beforeAutospacing="0" w:after="0" w:afterAutospacing="0"/>
              <w:rPr>
                <w:rFonts w:ascii="仿宋_GB2312" w:eastAsia="仿宋_GB2312" w:hAnsi="仿宋_GB2312" w:cs="仿宋_GB2312" w:hint="eastAsia"/>
                <w:bCs/>
                <w:sz w:val="18"/>
                <w:szCs w:val="18"/>
              </w:rPr>
            </w:pPr>
            <w:r w:rsidRPr="006D0A21">
              <w:rPr>
                <w:rFonts w:ascii="仿宋_GB2312" w:eastAsia="仿宋_GB2312" w:hAnsi="仿宋_GB2312" w:cs="仿宋_GB2312"/>
                <w:bCs/>
                <w:sz w:val="18"/>
                <w:szCs w:val="18"/>
                <w:lang w:bidi="ar"/>
              </w:rPr>
              <w:t>课程通过案例分析与跨文化比较，帮助学生构建系统的俄罗斯认知框架，理解其国情与文化间的内在逻辑，提升跨文化沟通能力。同时，注重在中俄对比中引导学生增强对中国特色社会主义的制度自信与文化认同，培养兼具专业素养与家国情怀、能胜任中俄交流的复合型人才。</w:t>
            </w:r>
          </w:p>
          <w:p w14:paraId="32783E74" w14:textId="77777777" w:rsidR="001F431A" w:rsidRPr="006D0A21" w:rsidRDefault="00000000" w:rsidP="006D0A21">
            <w:pPr>
              <w:pStyle w:val="a3"/>
              <w:widowControl/>
              <w:spacing w:before="0" w:beforeAutospacing="0" w:after="0" w:afterAutospacing="0"/>
              <w:rPr>
                <w:rFonts w:ascii="仿宋_GB2312" w:eastAsia="仿宋_GB2312" w:hAnsi="仿宋_GB2312" w:cs="仿宋_GB2312" w:hint="eastAsia"/>
                <w:bCs/>
                <w:sz w:val="18"/>
                <w:szCs w:val="18"/>
              </w:rPr>
            </w:pPr>
            <w:r w:rsidRPr="006D0A21">
              <w:rPr>
                <w:rFonts w:ascii="仿宋_GB2312" w:eastAsia="仿宋_GB2312" w:hAnsi="仿宋_GB2312" w:cs="仿宋_GB2312"/>
                <w:bCs/>
                <w:sz w:val="18"/>
                <w:szCs w:val="18"/>
                <w:lang w:bidi="ar"/>
              </w:rPr>
              <w:t>教材及参考书：《</w:t>
            </w:r>
            <w:r w:rsidRPr="006D0A21">
              <w:rPr>
                <w:rFonts w:ascii="仿宋_GB2312" w:eastAsia="仿宋_GB2312" w:hAnsi="仿宋_GB2312" w:cs="仿宋_GB2312" w:hint="eastAsia"/>
                <w:bCs/>
                <w:sz w:val="18"/>
                <w:szCs w:val="18"/>
                <w:lang w:bidi="ar"/>
              </w:rPr>
              <w:t>俄罗斯国情文化教程</w:t>
            </w:r>
            <w:r w:rsidRPr="006D0A21">
              <w:rPr>
                <w:rFonts w:ascii="仿宋_GB2312" w:eastAsia="仿宋_GB2312" w:hAnsi="仿宋_GB2312" w:cs="仿宋_GB2312"/>
                <w:bCs/>
                <w:sz w:val="18"/>
                <w:szCs w:val="18"/>
                <w:lang w:bidi="ar"/>
              </w:rPr>
              <w:t>》，</w:t>
            </w:r>
            <w:proofErr w:type="gramStart"/>
            <w:r w:rsidRPr="006D0A21">
              <w:rPr>
                <w:rFonts w:ascii="仿宋_GB2312" w:eastAsia="仿宋_GB2312" w:hAnsi="仿宋_GB2312" w:cs="仿宋_GB2312" w:hint="eastAsia"/>
                <w:bCs/>
                <w:sz w:val="18"/>
                <w:szCs w:val="18"/>
                <w:lang w:bidi="ar"/>
              </w:rPr>
              <w:t>张豫鄂</w:t>
            </w:r>
            <w:proofErr w:type="gramEnd"/>
            <w:r w:rsidRPr="006D0A21">
              <w:rPr>
                <w:rFonts w:ascii="仿宋_GB2312" w:eastAsia="仿宋_GB2312" w:hAnsi="仿宋_GB2312" w:cs="仿宋_GB2312" w:hint="eastAsia"/>
                <w:bCs/>
                <w:sz w:val="18"/>
                <w:szCs w:val="18"/>
                <w:lang w:bidi="ar"/>
              </w:rPr>
              <w:t>主</w:t>
            </w:r>
            <w:r w:rsidRPr="006D0A21">
              <w:rPr>
                <w:rFonts w:ascii="仿宋_GB2312" w:eastAsia="仿宋_GB2312" w:hAnsi="仿宋_GB2312" w:cs="仿宋_GB2312"/>
                <w:bCs/>
                <w:sz w:val="18"/>
                <w:szCs w:val="18"/>
                <w:lang w:bidi="ar"/>
              </w:rPr>
              <w:t>编，</w:t>
            </w:r>
            <w:r w:rsidRPr="006D0A21">
              <w:rPr>
                <w:rFonts w:ascii="仿宋_GB2312" w:eastAsia="仿宋_GB2312" w:hAnsi="仿宋_GB2312" w:cs="仿宋_GB2312" w:hint="eastAsia"/>
                <w:bCs/>
                <w:sz w:val="18"/>
                <w:szCs w:val="18"/>
                <w:lang w:bidi="ar"/>
              </w:rPr>
              <w:t>华中师范大学</w:t>
            </w:r>
            <w:r w:rsidRPr="006D0A21">
              <w:rPr>
                <w:rFonts w:ascii="仿宋_GB2312" w:eastAsia="仿宋_GB2312" w:hAnsi="仿宋_GB2312" w:cs="仿宋_GB2312"/>
                <w:bCs/>
                <w:sz w:val="18"/>
                <w:szCs w:val="18"/>
                <w:lang w:bidi="ar"/>
              </w:rPr>
              <w:t>出版社，</w:t>
            </w:r>
            <w:r w:rsidRPr="006D0A21">
              <w:rPr>
                <w:rFonts w:ascii="仿宋_GB2312" w:eastAsia="仿宋_GB2312" w:hAnsi="仿宋_GB2312" w:cs="仿宋_GB2312" w:hint="eastAsia"/>
                <w:bCs/>
                <w:sz w:val="18"/>
                <w:szCs w:val="18"/>
                <w:lang w:bidi="ar"/>
              </w:rPr>
              <w:t>2011年</w:t>
            </w:r>
            <w:r w:rsidRPr="006D0A21">
              <w:rPr>
                <w:rFonts w:ascii="仿宋_GB2312" w:eastAsia="仿宋_GB2312" w:hAnsi="仿宋_GB2312" w:cs="仿宋_GB2312"/>
                <w:bCs/>
                <w:sz w:val="18"/>
                <w:szCs w:val="18"/>
                <w:lang w:bidi="ar"/>
              </w:rPr>
              <w:t>。</w:t>
            </w:r>
          </w:p>
          <w:p w14:paraId="6E41A18D" w14:textId="77777777" w:rsidR="001F431A" w:rsidRPr="006D0A21" w:rsidRDefault="001F431A" w:rsidP="006D0A21">
            <w:pPr>
              <w:widowControl/>
              <w:jc w:val="left"/>
              <w:rPr>
                <w:rFonts w:ascii="仿宋_GB2312" w:eastAsia="仿宋_GB2312" w:hAnsi="仿宋_GB2312" w:cs="仿宋_GB2312" w:hint="eastAsia"/>
                <w:bCs/>
                <w:sz w:val="18"/>
                <w:szCs w:val="18"/>
                <w:lang w:bidi="ar"/>
              </w:rPr>
            </w:pPr>
          </w:p>
          <w:p w14:paraId="64D98561" w14:textId="77777777" w:rsidR="001F431A" w:rsidRPr="006D0A21" w:rsidRDefault="001F431A" w:rsidP="006D0A21">
            <w:pPr>
              <w:widowControl/>
              <w:jc w:val="left"/>
              <w:rPr>
                <w:rFonts w:ascii="仿宋_GB2312" w:eastAsia="仿宋_GB2312" w:hAnsi="仿宋_GB2312" w:cs="仿宋_GB2312" w:hint="eastAsia"/>
                <w:bCs/>
                <w:sz w:val="18"/>
                <w:szCs w:val="18"/>
                <w:lang w:bidi="ar"/>
              </w:rPr>
            </w:pPr>
          </w:p>
          <w:p w14:paraId="5AB3FD38" w14:textId="77777777" w:rsidR="001F431A" w:rsidRPr="006D0A21" w:rsidRDefault="001F431A" w:rsidP="006D0A21">
            <w:pPr>
              <w:widowControl/>
              <w:jc w:val="left"/>
              <w:rPr>
                <w:rFonts w:ascii="仿宋_GB2312" w:eastAsia="仿宋_GB2312" w:hAnsi="仿宋_GB2312" w:cs="仿宋_GB2312" w:hint="eastAsia"/>
                <w:bCs/>
                <w:sz w:val="18"/>
                <w:szCs w:val="18"/>
                <w:lang w:bidi="ar"/>
              </w:rPr>
            </w:pPr>
          </w:p>
          <w:p w14:paraId="05B090FE" w14:textId="77777777" w:rsidR="001F431A" w:rsidRPr="006D0A21" w:rsidRDefault="001F431A" w:rsidP="006D0A21">
            <w:pPr>
              <w:widowControl/>
              <w:jc w:val="left"/>
              <w:rPr>
                <w:rFonts w:ascii="仿宋_GB2312" w:eastAsia="仿宋_GB2312" w:hAnsi="仿宋_GB2312" w:cs="仿宋_GB2312" w:hint="eastAsia"/>
                <w:bCs/>
                <w:sz w:val="18"/>
                <w:szCs w:val="18"/>
                <w:lang w:bidi="ar"/>
              </w:rPr>
            </w:pPr>
          </w:p>
        </w:tc>
      </w:tr>
    </w:tbl>
    <w:p w14:paraId="0F1F4C57" w14:textId="77777777" w:rsidR="001F431A" w:rsidRDefault="001F431A"/>
    <w:sectPr w:rsidR="001F431A">
      <w:pgSz w:w="11906" w:h="16838"/>
      <w:pgMar w:top="1134" w:right="1418" w:bottom="1134" w:left="1418" w:header="851" w:footer="454"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EE0329"/>
    <w:multiLevelType w:val="singleLevel"/>
    <w:tmpl w:val="CFEE0329"/>
    <w:lvl w:ilvl="0">
      <w:start w:val="2"/>
      <w:numFmt w:val="chineseCounting"/>
      <w:suff w:val="nothing"/>
      <w:lvlText w:val="%1、"/>
      <w:lvlJc w:val="left"/>
      <w:rPr>
        <w:rFonts w:hint="eastAsia"/>
      </w:rPr>
    </w:lvl>
  </w:abstractNum>
  <w:num w:numId="1" w16cid:durableId="1465003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E5MmIxMDA0NmUxMTI3OTI0ODcyOTk2MmYwM2I1NGIifQ=="/>
  </w:docVars>
  <w:rsids>
    <w:rsidRoot w:val="0AE32D0C"/>
    <w:rsid w:val="B3C3A97A"/>
    <w:rsid w:val="EEBB0254"/>
    <w:rsid w:val="F7F9FFBC"/>
    <w:rsid w:val="000703B8"/>
    <w:rsid w:val="0007770F"/>
    <w:rsid w:val="001D40F7"/>
    <w:rsid w:val="001E18A9"/>
    <w:rsid w:val="001F431A"/>
    <w:rsid w:val="002D1061"/>
    <w:rsid w:val="00372B72"/>
    <w:rsid w:val="00381A54"/>
    <w:rsid w:val="004B5A3E"/>
    <w:rsid w:val="005545E7"/>
    <w:rsid w:val="00597148"/>
    <w:rsid w:val="005D0C17"/>
    <w:rsid w:val="006D0A21"/>
    <w:rsid w:val="00757B4D"/>
    <w:rsid w:val="008C1075"/>
    <w:rsid w:val="009B1FE8"/>
    <w:rsid w:val="009F6304"/>
    <w:rsid w:val="00B348CD"/>
    <w:rsid w:val="00BC45A1"/>
    <w:rsid w:val="00D529C8"/>
    <w:rsid w:val="00DB7AED"/>
    <w:rsid w:val="00DC25C9"/>
    <w:rsid w:val="00F16F11"/>
    <w:rsid w:val="02641DFB"/>
    <w:rsid w:val="06300FCF"/>
    <w:rsid w:val="09954E0D"/>
    <w:rsid w:val="0AE32D0C"/>
    <w:rsid w:val="0AF85A36"/>
    <w:rsid w:val="0FB93D29"/>
    <w:rsid w:val="0FF74AED"/>
    <w:rsid w:val="10A75028"/>
    <w:rsid w:val="1165300E"/>
    <w:rsid w:val="175A6EDF"/>
    <w:rsid w:val="1E8ED96F"/>
    <w:rsid w:val="1EEF22CE"/>
    <w:rsid w:val="21BF3E1B"/>
    <w:rsid w:val="2342170A"/>
    <w:rsid w:val="23D031BA"/>
    <w:rsid w:val="27054585"/>
    <w:rsid w:val="2D572256"/>
    <w:rsid w:val="35B30245"/>
    <w:rsid w:val="3D7106DB"/>
    <w:rsid w:val="3FFB7EBB"/>
    <w:rsid w:val="40207CBE"/>
    <w:rsid w:val="45B42AAD"/>
    <w:rsid w:val="45EC7588"/>
    <w:rsid w:val="46E13E64"/>
    <w:rsid w:val="47170634"/>
    <w:rsid w:val="49530C2E"/>
    <w:rsid w:val="496038EF"/>
    <w:rsid w:val="499B72F7"/>
    <w:rsid w:val="53966503"/>
    <w:rsid w:val="591744C4"/>
    <w:rsid w:val="5C2667BC"/>
    <w:rsid w:val="60D80496"/>
    <w:rsid w:val="60E0197E"/>
    <w:rsid w:val="6221580D"/>
    <w:rsid w:val="64844FF7"/>
    <w:rsid w:val="649F2FD7"/>
    <w:rsid w:val="687B4BF8"/>
    <w:rsid w:val="6ABC6060"/>
    <w:rsid w:val="6EDB52A7"/>
    <w:rsid w:val="76BE6545"/>
    <w:rsid w:val="7BD7C381"/>
    <w:rsid w:val="7EBFE8B7"/>
    <w:rsid w:val="7EFB62CB"/>
    <w:rsid w:val="7F09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D3F4C"/>
  <w15:docId w15:val="{04D8CABF-6D99-4E80-9A9F-2C7698C5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sz w:val="24"/>
    </w:rPr>
  </w:style>
  <w:style w:type="paragraph" w:styleId="a4">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Shine_ZHOU</dc:creator>
  <cp:lastModifiedBy>lu wang</cp:lastModifiedBy>
  <cp:revision>19</cp:revision>
  <dcterms:created xsi:type="dcterms:W3CDTF">2023-05-08T03:14:00Z</dcterms:created>
  <dcterms:modified xsi:type="dcterms:W3CDTF">2026-02-25T02:01:00Z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5FC13A65DF67A09C413A66694BD9F107_43</vt:lpwstr>
  </property>
  <property fmtid="{D5CDD505-2E9C-101B-9397-08002B2CF9AE}" pid="4" name="KSOTemplateDocerSaveRecord">
    <vt:lpwstr>eyJoZGlkIjoiNmUyZGU1ODIyMDE2MzViNTc5M2U1ODBjZmIyMmZlOTMiLCJ1c2VySWQiOiI0MzY4Nzg1MjUifQ==</vt:lpwstr>
  </property>
</Properties>
</file>